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0"/>
        <w:rPr>
          <w:rFonts w:hint="eastAsia" w:ascii="宋体" w:hAnsi="宋体" w:eastAsia="宋体" w:cs="宋体"/>
          <w:color w:val="auto"/>
          <w:sz w:val="100"/>
          <w:szCs w:val="100"/>
          <w:highlight w:val="none"/>
        </w:rPr>
      </w:pPr>
      <w:r>
        <w:rPr>
          <w:rFonts w:hint="eastAsia" w:ascii="宋体" w:hAnsi="宋体" w:eastAsia="宋体" w:cs="宋体"/>
          <w:color w:val="auto"/>
          <w:sz w:val="100"/>
          <w:szCs w:val="100"/>
          <w:highlight w:val="none"/>
        </w:rPr>
        <w:t>企</w:t>
      </w:r>
      <w:r>
        <w:rPr>
          <w:rFonts w:hint="eastAsia" w:ascii="宋体" w:hAnsi="宋体" w:cs="宋体"/>
          <w:color w:val="auto"/>
          <w:sz w:val="100"/>
          <w:szCs w:val="100"/>
          <w:highlight w:val="none"/>
          <w:lang w:val="en-US" w:eastAsia="zh-CN"/>
        </w:rPr>
        <w:t xml:space="preserve"> </w:t>
      </w:r>
      <w:r>
        <w:rPr>
          <w:rFonts w:hint="eastAsia" w:ascii="宋体" w:hAnsi="宋体" w:eastAsia="宋体" w:cs="宋体"/>
          <w:color w:val="auto"/>
          <w:sz w:val="100"/>
          <w:szCs w:val="100"/>
          <w:highlight w:val="none"/>
        </w:rPr>
        <w:t>业</w:t>
      </w:r>
      <w:r>
        <w:rPr>
          <w:rFonts w:hint="eastAsia" w:ascii="宋体" w:hAnsi="宋体" w:cs="宋体"/>
          <w:color w:val="auto"/>
          <w:sz w:val="100"/>
          <w:szCs w:val="100"/>
          <w:highlight w:val="none"/>
          <w:lang w:val="en-US" w:eastAsia="zh-CN"/>
        </w:rPr>
        <w:t xml:space="preserve"> </w:t>
      </w:r>
      <w:r>
        <w:rPr>
          <w:rFonts w:hint="eastAsia" w:ascii="宋体" w:hAnsi="宋体" w:eastAsia="宋体" w:cs="宋体"/>
          <w:color w:val="auto"/>
          <w:sz w:val="100"/>
          <w:szCs w:val="100"/>
          <w:highlight w:val="none"/>
        </w:rPr>
        <w:t>采</w:t>
      </w:r>
      <w:r>
        <w:rPr>
          <w:rFonts w:hint="eastAsia" w:ascii="宋体" w:hAnsi="宋体" w:cs="宋体"/>
          <w:color w:val="auto"/>
          <w:sz w:val="100"/>
          <w:szCs w:val="100"/>
          <w:highlight w:val="none"/>
          <w:lang w:val="en-US" w:eastAsia="zh-CN"/>
        </w:rPr>
        <w:t xml:space="preserve"> </w:t>
      </w:r>
      <w:r>
        <w:rPr>
          <w:rFonts w:hint="eastAsia" w:ascii="宋体" w:hAnsi="宋体" w:eastAsia="宋体" w:cs="宋体"/>
          <w:color w:val="auto"/>
          <w:sz w:val="100"/>
          <w:szCs w:val="100"/>
          <w:highlight w:val="none"/>
        </w:rPr>
        <w:t>购</w:t>
      </w:r>
    </w:p>
    <w:p>
      <w:pPr>
        <w:spacing w:line="1600" w:lineRule="exact"/>
        <w:jc w:val="center"/>
        <w:outlineLvl w:val="0"/>
        <w:rPr>
          <w:rFonts w:hint="eastAsia" w:ascii="宋体" w:hAnsi="宋体" w:eastAsia="宋体" w:cs="宋体"/>
          <w:color w:val="auto"/>
          <w:sz w:val="100"/>
          <w:szCs w:val="100"/>
          <w:highlight w:val="none"/>
        </w:rPr>
      </w:pPr>
    </w:p>
    <w:p>
      <w:pPr>
        <w:spacing w:line="1600" w:lineRule="exact"/>
        <w:jc w:val="center"/>
        <w:outlineLvl w:val="0"/>
        <w:rPr>
          <w:rFonts w:hint="default" w:ascii="宋体" w:hAnsi="宋体" w:eastAsia="宋体" w:cs="宋体"/>
          <w:b w:val="0"/>
          <w:bCs w:val="0"/>
          <w:color w:val="auto"/>
          <w:sz w:val="96"/>
          <w:szCs w:val="96"/>
          <w:highlight w:val="none"/>
          <w:lang w:val="en-US"/>
        </w:rPr>
      </w:pPr>
      <w:r>
        <w:rPr>
          <w:rFonts w:hint="eastAsia" w:ascii="仿宋" w:hAnsi="仿宋" w:eastAsia="仿宋" w:cs="仿宋"/>
          <w:color w:val="auto"/>
          <w:sz w:val="72"/>
          <w:szCs w:val="72"/>
          <w:highlight w:val="none"/>
          <w:lang w:val="en-US" w:eastAsia="zh-CN"/>
        </w:rPr>
        <w:t xml:space="preserve">询 价 文 件   </w:t>
      </w:r>
    </w:p>
    <w:p>
      <w:pPr>
        <w:pStyle w:val="3"/>
        <w:spacing w:line="500" w:lineRule="exact"/>
        <w:ind w:left="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pStyle w:val="3"/>
        <w:spacing w:line="500" w:lineRule="exact"/>
        <w:ind w:left="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pStyle w:val="3"/>
        <w:spacing w:line="500" w:lineRule="exact"/>
        <w:ind w:left="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pStyle w:val="3"/>
        <w:spacing w:line="500" w:lineRule="exact"/>
        <w:ind w:left="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spacing w:line="500" w:lineRule="exact"/>
        <w:jc w:val="center"/>
        <w:outlineLvl w:val="0"/>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rPr>
        <w:t>项目名称：</w:t>
      </w:r>
      <w:r>
        <w:rPr>
          <w:rFonts w:hint="eastAsia" w:ascii="宋体" w:hAnsi="宋体" w:cs="宋体"/>
          <w:color w:val="auto"/>
          <w:sz w:val="36"/>
          <w:szCs w:val="36"/>
          <w:highlight w:val="none"/>
          <w:lang w:val="en-US" w:eastAsia="zh-CN"/>
        </w:rPr>
        <w:t>秀山县人民医院呼吸道多病原监测项目试剂采购（第二次）</w:t>
      </w:r>
    </w:p>
    <w:p>
      <w:pPr>
        <w:spacing w:line="500" w:lineRule="exact"/>
        <w:outlineLvl w:val="0"/>
        <w:rPr>
          <w:rFonts w:hint="eastAsia" w:ascii="宋体" w:hAnsi="宋体" w:eastAsia="宋体" w:cs="宋体"/>
          <w:color w:val="auto"/>
          <w:sz w:val="32"/>
          <w:szCs w:val="32"/>
          <w:highlight w:val="none"/>
          <w:lang w:eastAsia="zh-CN"/>
        </w:rPr>
      </w:pPr>
    </w:p>
    <w:p>
      <w:pPr>
        <w:pStyle w:val="3"/>
        <w:spacing w:line="500" w:lineRule="exact"/>
        <w:ind w:left="0"/>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pStyle w:val="3"/>
        <w:spacing w:line="500" w:lineRule="exact"/>
        <w:ind w:left="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pStyle w:val="3"/>
        <w:spacing w:line="500" w:lineRule="exact"/>
        <w:ind w:lef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spacing w:line="5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spacing w:line="500" w:lineRule="exact"/>
        <w:ind w:left="840" w:leftChars="0" w:firstLine="280" w:firstLineChars="0"/>
        <w:jc w:val="left"/>
        <w:outlineLvl w:val="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采</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购</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人：</w:t>
      </w:r>
      <w:r>
        <w:rPr>
          <w:rFonts w:hint="eastAsia" w:ascii="宋体" w:hAnsi="宋体" w:eastAsia="宋体" w:cs="宋体"/>
          <w:color w:val="auto"/>
          <w:sz w:val="32"/>
          <w:szCs w:val="32"/>
          <w:highlight w:val="none"/>
          <w:lang w:val="en-US" w:eastAsia="zh-CN"/>
        </w:rPr>
        <w:t xml:space="preserve">秀山土家族苗族自治县人民医院  </w:t>
      </w:r>
    </w:p>
    <w:p>
      <w:pPr>
        <w:spacing w:line="500" w:lineRule="exact"/>
        <w:ind w:firstLine="960" w:firstLineChars="300"/>
        <w:jc w:val="left"/>
        <w:outlineLvl w:val="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采购代理机构：</w:t>
      </w:r>
      <w:r>
        <w:rPr>
          <w:rFonts w:hint="eastAsia" w:ascii="宋体" w:hAnsi="宋体" w:eastAsia="宋体" w:cs="宋体"/>
          <w:color w:val="auto"/>
          <w:sz w:val="32"/>
          <w:szCs w:val="32"/>
          <w:highlight w:val="none"/>
          <w:lang w:eastAsia="zh-CN"/>
        </w:rPr>
        <w:t>重庆</w:t>
      </w:r>
      <w:r>
        <w:rPr>
          <w:rFonts w:hint="eastAsia" w:ascii="宋体" w:hAnsi="宋体" w:cs="宋体"/>
          <w:color w:val="auto"/>
          <w:sz w:val="32"/>
          <w:szCs w:val="32"/>
          <w:highlight w:val="none"/>
          <w:lang w:eastAsia="zh-CN"/>
        </w:rPr>
        <w:t>正诺</w:t>
      </w:r>
      <w:r>
        <w:rPr>
          <w:rFonts w:hint="eastAsia" w:ascii="宋体" w:hAnsi="宋体" w:eastAsia="宋体" w:cs="宋体"/>
          <w:color w:val="auto"/>
          <w:sz w:val="32"/>
          <w:szCs w:val="32"/>
          <w:highlight w:val="none"/>
          <w:lang w:eastAsia="zh-CN"/>
        </w:rPr>
        <w:t>工程项目管理有限公司</w:t>
      </w:r>
    </w:p>
    <w:p>
      <w:pPr>
        <w:spacing w:line="500" w:lineRule="exact"/>
        <w:ind w:firstLine="320" w:firstLineChars="100"/>
        <w:outlineLvl w:val="0"/>
        <w:rPr>
          <w:rFonts w:hint="eastAsia" w:ascii="宋体" w:hAnsi="宋体" w:eastAsia="宋体" w:cs="宋体"/>
          <w:color w:val="auto"/>
          <w:sz w:val="32"/>
          <w:szCs w:val="32"/>
          <w:highlight w:val="none"/>
        </w:rPr>
      </w:pPr>
    </w:p>
    <w:p>
      <w:pPr>
        <w:snapToGrid w:val="0"/>
        <w:spacing w:line="5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snapToGrid w:val="0"/>
        <w:spacing w:line="500" w:lineRule="exact"/>
        <w:jc w:val="center"/>
        <w:rPr>
          <w:rFonts w:hint="eastAsia" w:ascii="宋体" w:hAnsi="宋体" w:eastAsia="宋体" w:cs="宋体"/>
          <w:color w:val="auto"/>
          <w:sz w:val="40"/>
          <w:szCs w:val="40"/>
          <w:highlight w:val="none"/>
        </w:rPr>
        <w:sectPr>
          <w:pgSz w:w="12240" w:h="15840"/>
          <w:pgMar w:top="1440" w:right="1800" w:bottom="1440" w:left="1800" w:header="720" w:footer="720" w:gutter="0"/>
          <w:cols w:space="720" w:num="1"/>
        </w:sectPr>
      </w:pPr>
      <w:r>
        <w:rPr>
          <w:rFonts w:hint="eastAsia" w:ascii="宋体" w:hAnsi="宋体" w:eastAsia="宋体" w:cs="宋体"/>
          <w:color w:val="auto"/>
          <w:sz w:val="36"/>
          <w:szCs w:val="36"/>
          <w:highlight w:val="none"/>
        </w:rPr>
        <w:t>二〇</w:t>
      </w:r>
      <w:r>
        <w:rPr>
          <w:rFonts w:hint="eastAsia" w:ascii="宋体" w:hAnsi="宋体" w:eastAsia="宋体" w:cs="宋体"/>
          <w:color w:val="auto"/>
          <w:sz w:val="36"/>
          <w:szCs w:val="36"/>
          <w:highlight w:val="none"/>
          <w:lang w:val="en-US" w:eastAsia="zh-CN"/>
        </w:rPr>
        <w:t>二</w:t>
      </w:r>
      <w:r>
        <w:rPr>
          <w:rFonts w:hint="eastAsia" w:ascii="宋体" w:hAnsi="宋体" w:cs="宋体"/>
          <w:color w:val="auto"/>
          <w:sz w:val="36"/>
          <w:szCs w:val="36"/>
          <w:highlight w:val="none"/>
          <w:lang w:val="en-US" w:eastAsia="zh-CN"/>
        </w:rPr>
        <w:t>四</w:t>
      </w:r>
      <w:r>
        <w:rPr>
          <w:rFonts w:hint="eastAsia" w:ascii="宋体" w:hAnsi="宋体" w:eastAsia="宋体" w:cs="宋体"/>
          <w:color w:val="auto"/>
          <w:sz w:val="36"/>
          <w:szCs w:val="36"/>
          <w:highlight w:val="none"/>
        </w:rPr>
        <w:t>年</w:t>
      </w:r>
      <w:r>
        <w:rPr>
          <w:rFonts w:hint="eastAsia" w:ascii="宋体" w:hAnsi="宋体" w:cs="宋体"/>
          <w:color w:val="auto"/>
          <w:sz w:val="36"/>
          <w:szCs w:val="36"/>
          <w:highlight w:val="none"/>
          <w:lang w:val="en-US" w:eastAsia="zh-CN"/>
        </w:rPr>
        <w:t>五</w:t>
      </w:r>
      <w:r>
        <w:rPr>
          <w:rFonts w:hint="eastAsia" w:ascii="宋体" w:hAnsi="宋体" w:eastAsia="宋体" w:cs="宋体"/>
          <w:color w:val="auto"/>
          <w:sz w:val="36"/>
          <w:szCs w:val="36"/>
          <w:highlight w:val="none"/>
        </w:rPr>
        <w:t>月</w:t>
      </w:r>
    </w:p>
    <w:p>
      <w:pPr>
        <w:snapToGrid w:val="0"/>
        <w:spacing w:line="5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pPr>
        <w:pStyle w:val="12"/>
        <w:tabs>
          <w:tab w:val="right" w:leader="dot" w:pos="9412"/>
          <w:tab w:val="clear" w:pos="1260"/>
          <w:tab w:val="clear" w:pos="1685"/>
          <w:tab w:val="clear" w:pos="8400"/>
        </w:tabs>
        <w:rPr>
          <w:rFonts w:hint="eastAsia" w:ascii="宋体" w:hAnsi="宋体" w:eastAsia="宋体" w:cs="宋体"/>
          <w:color w:val="auto"/>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"1-2"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_Toc13447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6"/>
        </w:rPr>
        <w:t xml:space="preserve">第一篇 </w:t>
      </w:r>
      <w:r>
        <w:rPr>
          <w:rFonts w:hint="eastAsia" w:ascii="宋体" w:hAnsi="宋体" w:eastAsia="宋体" w:cs="宋体"/>
          <w:color w:val="auto"/>
          <w:szCs w:val="36"/>
          <w:highlight w:val="none"/>
        </w:rPr>
        <w:t>投标邀请书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_Toc13447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_Toc3875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一、</w:t>
      </w:r>
      <w:r>
        <w:rPr>
          <w:rFonts w:hint="eastAsia" w:ascii="宋体" w:hAnsi="宋体" w:cs="宋体"/>
          <w:color w:val="auto"/>
          <w:szCs w:val="24"/>
          <w:highlight w:val="none"/>
          <w:lang w:eastAsia="zh-CN"/>
        </w:rPr>
        <w:t>询价</w:t>
      </w:r>
      <w:r>
        <w:rPr>
          <w:rFonts w:hint="eastAsia" w:ascii="宋体" w:hAnsi="宋体" w:eastAsia="宋体" w:cs="宋体"/>
          <w:color w:val="auto"/>
          <w:szCs w:val="24"/>
          <w:highlight w:val="none"/>
        </w:rPr>
        <w:t>项目内容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_Toc3875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_Toc19918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二</w:t>
      </w:r>
      <w:r>
        <w:rPr>
          <w:rFonts w:hint="eastAsia" w:ascii="宋体" w:hAnsi="宋体" w:eastAsia="宋体" w:cs="宋体"/>
          <w:color w:val="auto"/>
          <w:szCs w:val="24"/>
          <w:highlight w:val="none"/>
        </w:rPr>
        <w:t>、投标人资格要求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_Toc19918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_Toc28878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三</w:t>
      </w:r>
      <w:r>
        <w:rPr>
          <w:rFonts w:hint="eastAsia" w:ascii="宋体" w:hAnsi="宋体" w:eastAsia="宋体" w:cs="宋体"/>
          <w:color w:val="auto"/>
          <w:szCs w:val="24"/>
          <w:highlight w:val="none"/>
        </w:rPr>
        <w:t>、投标、开标有关说明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_Toc28878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_Toc22977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四</w:t>
      </w:r>
      <w:r>
        <w:rPr>
          <w:rFonts w:hint="eastAsia" w:ascii="宋体" w:hAnsi="宋体" w:eastAsia="宋体" w:cs="宋体"/>
          <w:color w:val="auto"/>
          <w:szCs w:val="24"/>
          <w:highlight w:val="none"/>
        </w:rPr>
        <w:t>、投标保证金</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_Toc22977 \h </w:instrText>
      </w:r>
      <w:r>
        <w:rPr>
          <w:rFonts w:hint="eastAsia" w:ascii="宋体" w:hAnsi="宋体" w:eastAsia="宋体" w:cs="宋体"/>
          <w:color w:val="auto"/>
        </w:rPr>
        <w:fldChar w:fldCharType="separate"/>
      </w:r>
      <w:r>
        <w:rPr>
          <w:rFonts w:hint="eastAsia" w:ascii="宋体" w:hAnsi="宋体" w:eastAsia="宋体" w:cs="宋体"/>
          <w:color w:val="auto"/>
        </w:rPr>
        <w:t>5</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_Toc25601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五</w:t>
      </w:r>
      <w:r>
        <w:rPr>
          <w:rFonts w:hint="eastAsia" w:ascii="宋体" w:hAnsi="宋体" w:eastAsia="宋体" w:cs="宋体"/>
          <w:color w:val="auto"/>
          <w:szCs w:val="24"/>
          <w:highlight w:val="none"/>
        </w:rPr>
        <w:t>、投标有关规定</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_Toc25601 \h </w:instrText>
      </w:r>
      <w:r>
        <w:rPr>
          <w:rFonts w:hint="eastAsia" w:ascii="宋体" w:hAnsi="宋体" w:eastAsia="宋体" w:cs="宋体"/>
          <w:color w:val="auto"/>
        </w:rPr>
        <w:fldChar w:fldCharType="separate"/>
      </w:r>
      <w:r>
        <w:rPr>
          <w:rFonts w:hint="eastAsia" w:ascii="宋体" w:hAnsi="宋体" w:eastAsia="宋体" w:cs="宋体"/>
          <w:color w:val="auto"/>
        </w:rPr>
        <w:t>5</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_Toc1316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六</w:t>
      </w:r>
      <w:r>
        <w:rPr>
          <w:rFonts w:hint="eastAsia" w:ascii="宋体" w:hAnsi="宋体" w:eastAsia="宋体" w:cs="宋体"/>
          <w:color w:val="auto"/>
          <w:szCs w:val="24"/>
          <w:highlight w:val="none"/>
        </w:rPr>
        <w:t>、联系方式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_Toc1316 \h </w:instrText>
      </w:r>
      <w:r>
        <w:rPr>
          <w:rFonts w:hint="eastAsia" w:ascii="宋体" w:hAnsi="宋体" w:eastAsia="宋体" w:cs="宋体"/>
          <w:color w:val="auto"/>
        </w:rPr>
        <w:fldChar w:fldCharType="separate"/>
      </w:r>
      <w:r>
        <w:rPr>
          <w:rFonts w:hint="eastAsia" w:ascii="宋体" w:hAnsi="宋体" w:eastAsia="宋体" w:cs="宋体"/>
          <w:color w:val="auto"/>
        </w:rPr>
        <w:t>5</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2"/>
        <w:tabs>
          <w:tab w:val="right" w:leader="dot" w:pos="9412"/>
          <w:tab w:val="clear" w:pos="1260"/>
          <w:tab w:val="clear" w:pos="1685"/>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_Toc29828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6"/>
        </w:rPr>
        <w:t xml:space="preserve">第二篇 </w:t>
      </w:r>
      <w:r>
        <w:rPr>
          <w:rFonts w:hint="eastAsia" w:ascii="宋体" w:hAnsi="宋体" w:eastAsia="宋体" w:cs="宋体"/>
          <w:color w:val="auto"/>
          <w:szCs w:val="36"/>
          <w:highlight w:val="none"/>
        </w:rPr>
        <w:t>项目技术要求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_Toc29828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_Toc14005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lang w:val="en-US" w:eastAsia="zh-CN"/>
        </w:rPr>
        <w:t>一、 合格供应商供货商品</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_Toc14005 \h </w:instrText>
      </w:r>
      <w:r>
        <w:rPr>
          <w:rFonts w:hint="eastAsia" w:ascii="宋体" w:hAnsi="宋体" w:eastAsia="宋体" w:cs="宋体"/>
          <w:color w:val="auto"/>
        </w:rPr>
        <w:fldChar w:fldCharType="separate"/>
      </w:r>
      <w:r>
        <w:rPr>
          <w:rFonts w:hint="eastAsia"/>
          <w:b/>
          <w:lang w:val="en-US" w:eastAsia="zh-CN"/>
        </w:rPr>
        <w:t>-6-</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_Toc25889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lang w:val="en-US" w:eastAsia="zh-CN"/>
        </w:rPr>
        <w:t>二、 项目概况</w:t>
      </w:r>
      <w:r>
        <w:rPr>
          <w:rFonts w:hint="eastAsia" w:ascii="宋体" w:hAnsi="宋体" w:eastAsia="宋体" w:cs="宋体"/>
          <w:color w:val="auto"/>
        </w:rPr>
        <w:tab/>
      </w:r>
      <w:r>
        <w:rPr>
          <w:rFonts w:hint="eastAsia" w:ascii="宋体" w:hAnsi="宋体" w:cs="宋体"/>
          <w:color w:val="auto"/>
          <w:lang w:val="en-US" w:eastAsia="zh-CN"/>
        </w:rPr>
        <w:t>-</w:t>
      </w:r>
      <w:r>
        <w:rPr>
          <w:rFonts w:hint="eastAsia" w:ascii="宋体" w:hAnsi="宋体" w:eastAsia="宋体" w:cs="宋体"/>
          <w:color w:val="auto"/>
          <w:szCs w:val="24"/>
          <w:highlight w:val="none"/>
        </w:rPr>
        <w:fldChar w:fldCharType="end"/>
      </w:r>
      <w:r>
        <w:rPr>
          <w:rFonts w:hint="eastAsia" w:ascii="宋体" w:hAnsi="宋体" w:cs="宋体"/>
          <w:color w:val="auto"/>
          <w:szCs w:val="24"/>
          <w:highlight w:val="none"/>
          <w:lang w:val="en-US" w:eastAsia="zh-CN"/>
        </w:rPr>
        <w:t>6-</w:t>
      </w:r>
    </w:p>
    <w:p>
      <w:pPr>
        <w:ind w:firstLine="280" w:firstLineChars="100"/>
        <w:rPr>
          <w:rFonts w:hint="eastAsia" w:ascii="宋体" w:hAnsi="宋体" w:eastAsia="宋体" w:cs="宋体"/>
          <w:color w:val="auto"/>
        </w:rPr>
      </w:pPr>
      <w:r>
        <w:rPr>
          <w:rFonts w:hint="eastAsia"/>
          <w:lang w:val="en-US" w:eastAsia="zh-CN"/>
        </w:rPr>
        <w:t>三、 项目目标............................................................................................. .....</w:t>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_Toc25889 \h </w:instrText>
      </w:r>
      <w:r>
        <w:rPr>
          <w:rFonts w:hint="eastAsia" w:ascii="宋体" w:hAnsi="宋体" w:eastAsia="宋体" w:cs="宋体"/>
          <w:color w:val="auto"/>
        </w:rPr>
        <w:fldChar w:fldCharType="separate"/>
      </w:r>
      <w:r>
        <w:rPr>
          <w:rFonts w:hint="eastAsia"/>
          <w:b/>
          <w:lang w:val="en-US" w:eastAsia="zh-CN"/>
        </w:rPr>
        <w:t xml:space="preserve">-6- </w:t>
      </w:r>
      <w:r>
        <w:rPr>
          <w:rFonts w:hint="eastAsia" w:ascii="宋体" w:hAnsi="宋体" w:eastAsia="宋体" w:cs="宋体"/>
          <w:color w:val="auto"/>
        </w:rPr>
        <w:fldChar w:fldCharType="end"/>
      </w:r>
    </w:p>
    <w:p>
      <w:pPr>
        <w:pStyle w:val="2"/>
        <w:ind w:left="0" w:leftChars="0" w:firstLine="280" w:firstLineChars="100"/>
        <w:rPr>
          <w:rFonts w:hint="default" w:ascii="宋体" w:hAnsi="宋体" w:eastAsia="宋体" w:cs="宋体"/>
          <w:bCs/>
          <w:color w:val="auto"/>
          <w:kern w:val="2"/>
          <w:sz w:val="28"/>
          <w:szCs w:val="24"/>
          <w:lang w:val="en-US" w:eastAsia="zh-CN" w:bidi="ar-SA"/>
        </w:rPr>
      </w:pPr>
      <w:r>
        <w:rPr>
          <w:rFonts w:hint="eastAsia" w:ascii="宋体" w:hAnsi="宋体" w:eastAsia="宋体" w:cs="宋体"/>
          <w:bCs/>
          <w:color w:val="auto"/>
          <w:kern w:val="2"/>
          <w:sz w:val="28"/>
          <w:szCs w:val="24"/>
          <w:lang w:val="en-US" w:eastAsia="zh-CN" w:bidi="ar-SA"/>
        </w:rPr>
        <w:t>四、项目范围和内容</w:t>
      </w:r>
      <w:r>
        <w:rPr>
          <w:rFonts w:hint="eastAsia" w:ascii="宋体" w:hAnsi="宋体" w:cs="宋体"/>
          <w:bCs/>
          <w:color w:val="auto"/>
          <w:kern w:val="2"/>
          <w:sz w:val="28"/>
          <w:szCs w:val="24"/>
          <w:lang w:val="en-US" w:eastAsia="zh-CN" w:bidi="ar-SA"/>
        </w:rPr>
        <w:t>............................................-6-</w:t>
      </w:r>
    </w:p>
    <w:p>
      <w:pPr>
        <w:pStyle w:val="2"/>
        <w:ind w:left="0" w:leftChars="0" w:firstLine="0" w:firstLineChars="0"/>
        <w:rPr>
          <w:rFonts w:hint="default"/>
          <w:lang w:val="en-US" w:eastAsia="zh-CN"/>
        </w:rPr>
      </w:pPr>
      <w:r>
        <w:rPr>
          <w:rFonts w:hint="eastAsia"/>
          <w:lang w:val="en-US" w:eastAsia="zh-CN"/>
        </w:rPr>
        <w:t xml:space="preserve">   </w:t>
      </w:r>
      <w:r>
        <w:rPr>
          <w:rFonts w:hint="eastAsia" w:ascii="宋体" w:hAnsi="宋体" w:eastAsia="宋体" w:cs="宋体"/>
          <w:bCs/>
          <w:color w:val="auto"/>
          <w:kern w:val="2"/>
          <w:sz w:val="28"/>
          <w:szCs w:val="24"/>
          <w:lang w:val="en-US" w:eastAsia="zh-CN" w:bidi="ar-SA"/>
        </w:rPr>
        <w:t>五、其</w:t>
      </w:r>
      <w:r>
        <w:rPr>
          <w:rFonts w:hint="eastAsia" w:ascii="宋体" w:hAnsi="宋体" w:cs="宋体"/>
          <w:bCs/>
          <w:color w:val="auto"/>
          <w:kern w:val="2"/>
          <w:sz w:val="28"/>
          <w:szCs w:val="24"/>
          <w:lang w:val="en-US" w:eastAsia="zh-CN" w:bidi="ar-SA"/>
        </w:rPr>
        <w:t>他......................................................-7-</w:t>
      </w:r>
    </w:p>
    <w:p>
      <w:pPr>
        <w:pStyle w:val="12"/>
        <w:tabs>
          <w:tab w:val="right" w:leader="dot" w:pos="9412"/>
          <w:tab w:val="clear" w:pos="1260"/>
          <w:tab w:val="clear" w:pos="1685"/>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_Toc1067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6"/>
        </w:rPr>
        <w:t xml:space="preserve">第三篇 </w:t>
      </w:r>
      <w:r>
        <w:rPr>
          <w:rFonts w:hint="eastAsia" w:ascii="宋体" w:hAnsi="宋体" w:eastAsia="宋体" w:cs="宋体"/>
          <w:color w:val="auto"/>
          <w:szCs w:val="36"/>
          <w:highlight w:val="none"/>
        </w:rPr>
        <w:t>项目商务要求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_Toc1067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_Toc18723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lang w:val="en-US" w:eastAsia="zh-CN"/>
        </w:rPr>
        <w:t xml:space="preserve">一、 </w:t>
      </w:r>
      <w:r>
        <w:rPr>
          <w:rFonts w:hint="eastAsia" w:ascii="宋体" w:hAnsi="宋体" w:eastAsia="宋体" w:cs="宋体"/>
          <w:color w:val="auto"/>
          <w:szCs w:val="24"/>
          <w:highlight w:val="none"/>
          <w:lang w:val="en-US" w:eastAsia="zh-CN"/>
        </w:rPr>
        <w:t>合格</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供货期限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_Toc18723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_Toc5011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rPr>
        <w:t xml:space="preserve">二、 </w:t>
      </w:r>
      <w:r>
        <w:rPr>
          <w:rFonts w:hint="eastAsia" w:ascii="宋体" w:hAnsi="宋体" w:eastAsia="宋体" w:cs="宋体"/>
          <w:color w:val="auto"/>
          <w:szCs w:val="24"/>
          <w:highlight w:val="none"/>
          <w:lang w:val="en-US" w:eastAsia="zh-CN"/>
        </w:rPr>
        <w:t>合格</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供货商品地点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_Toc5011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_Toc3815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lang w:val="en-US" w:eastAsia="zh-CN"/>
        </w:rPr>
        <w:t xml:space="preserve">三、 </w:t>
      </w:r>
      <w:r>
        <w:rPr>
          <w:rFonts w:hint="eastAsia" w:ascii="宋体" w:hAnsi="宋体" w:eastAsia="宋体" w:cs="宋体"/>
          <w:color w:val="auto"/>
          <w:szCs w:val="24"/>
          <w:highlight w:val="none"/>
          <w:lang w:val="en-US" w:eastAsia="zh-CN"/>
        </w:rPr>
        <w:t>合格</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供货商品的质量标准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_Toc5011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2"/>
        <w:tabs>
          <w:tab w:val="right" w:leader="dot" w:pos="9412"/>
          <w:tab w:val="clear" w:pos="1260"/>
          <w:tab w:val="clear" w:pos="1685"/>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_Toc22772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2"/>
          <w:highlight w:val="none"/>
        </w:rPr>
        <w:t xml:space="preserve">第四篇  </w:t>
      </w:r>
      <w:r>
        <w:rPr>
          <w:rFonts w:hint="eastAsia" w:ascii="宋体" w:hAnsi="宋体" w:eastAsia="宋体" w:cs="宋体"/>
          <w:color w:val="auto"/>
          <w:szCs w:val="32"/>
          <w:highlight w:val="none"/>
          <w:lang w:val="en-US" w:eastAsia="zh-CN"/>
        </w:rPr>
        <w:t xml:space="preserve"> </w:t>
      </w:r>
      <w:r>
        <w:rPr>
          <w:rFonts w:hint="eastAsia" w:ascii="宋体" w:hAnsi="宋体" w:eastAsia="宋体" w:cs="宋体"/>
          <w:color w:val="auto"/>
          <w:szCs w:val="32"/>
          <w:highlight w:val="none"/>
        </w:rPr>
        <w:t>评标方法、评标标准、无效投标条款和废标条款</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_Toc22772 \h </w:instrText>
      </w:r>
      <w:r>
        <w:rPr>
          <w:rFonts w:hint="eastAsia" w:ascii="宋体" w:hAnsi="宋体" w:eastAsia="宋体" w:cs="宋体"/>
          <w:color w:val="auto"/>
        </w:rPr>
        <w:fldChar w:fldCharType="separate"/>
      </w:r>
      <w:r>
        <w:rPr>
          <w:rFonts w:hint="eastAsia" w:ascii="宋体" w:hAnsi="宋体" w:eastAsia="宋体" w:cs="宋体"/>
          <w:color w:val="auto"/>
        </w:rPr>
        <w:t>10</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_Toc8928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一、评标方法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_Toc8928 \h </w:instrText>
      </w:r>
      <w:r>
        <w:rPr>
          <w:rFonts w:hint="eastAsia" w:ascii="宋体" w:hAnsi="宋体" w:eastAsia="宋体" w:cs="宋体"/>
          <w:color w:val="auto"/>
        </w:rPr>
        <w:fldChar w:fldCharType="separate"/>
      </w:r>
      <w:r>
        <w:rPr>
          <w:rFonts w:hint="eastAsia" w:ascii="宋体" w:hAnsi="宋体" w:eastAsia="宋体" w:cs="宋体"/>
          <w:color w:val="auto"/>
        </w:rPr>
        <w:t>10</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_Toc7190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二</w:t>
      </w:r>
      <w:r>
        <w:rPr>
          <w:rFonts w:hint="eastAsia" w:ascii="宋体" w:hAnsi="宋体" w:eastAsia="宋体" w:cs="宋体"/>
          <w:color w:val="auto"/>
          <w:szCs w:val="24"/>
          <w:highlight w:val="none"/>
        </w:rPr>
        <w:t>、评标标准</w:t>
      </w:r>
      <w:r>
        <w:rPr>
          <w:rFonts w:hint="eastAsia" w:ascii="宋体" w:hAnsi="宋体" w:eastAsia="宋体" w:cs="宋体"/>
          <w:color w:val="auto"/>
          <w:szCs w:val="21"/>
          <w:highlight w:val="none"/>
        </w:rPr>
        <w:t>。</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_Toc7190 \h </w:instrText>
      </w:r>
      <w:r>
        <w:rPr>
          <w:rFonts w:hint="eastAsia" w:ascii="宋体" w:hAnsi="宋体" w:eastAsia="宋体" w:cs="宋体"/>
          <w:color w:val="auto"/>
        </w:rPr>
        <w:fldChar w:fldCharType="separate"/>
      </w:r>
      <w:r>
        <w:rPr>
          <w:rFonts w:hint="eastAsia"/>
          <w:b/>
          <w:lang w:val="en-US" w:eastAsia="zh-CN"/>
        </w:rPr>
        <w:t>-12-</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_Toc19317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lang w:val="en-US" w:eastAsia="zh-CN"/>
        </w:rPr>
        <w:t>三</w:t>
      </w:r>
      <w:r>
        <w:rPr>
          <w:rFonts w:hint="eastAsia" w:ascii="宋体" w:hAnsi="宋体" w:eastAsia="宋体" w:cs="宋体"/>
          <w:bCs/>
          <w:color w:val="auto"/>
          <w:szCs w:val="24"/>
          <w:highlight w:val="none"/>
        </w:rPr>
        <w:t>、无效投标条款</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_Toc19317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_Toc6261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lang w:val="en-US" w:eastAsia="zh-CN"/>
        </w:rPr>
        <w:t>四</w:t>
      </w:r>
      <w:r>
        <w:rPr>
          <w:rFonts w:hint="eastAsia" w:ascii="宋体" w:hAnsi="宋体" w:eastAsia="宋体" w:cs="宋体"/>
          <w:bCs/>
          <w:color w:val="auto"/>
          <w:szCs w:val="24"/>
          <w:highlight w:val="none"/>
        </w:rPr>
        <w:t>、废标条款</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_Toc6261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2"/>
        <w:tabs>
          <w:tab w:val="right" w:leader="dot" w:pos="9412"/>
          <w:tab w:val="clear" w:pos="1260"/>
          <w:tab w:val="clear" w:pos="1685"/>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_Toc24207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6"/>
          <w:highlight w:val="none"/>
        </w:rPr>
        <w:t>第五篇  投标人须知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_Toc24207 \h </w:instrText>
      </w:r>
      <w:r>
        <w:rPr>
          <w:rFonts w:hint="eastAsia" w:ascii="宋体" w:hAnsi="宋体" w:eastAsia="宋体" w:cs="宋体"/>
          <w:color w:val="auto"/>
        </w:rPr>
        <w:fldChar w:fldCharType="separate"/>
      </w:r>
      <w:r>
        <w:rPr>
          <w:rFonts w:hint="eastAsia" w:ascii="宋体" w:hAnsi="宋体" w:eastAsia="宋体" w:cs="宋体"/>
          <w:color w:val="auto"/>
        </w:rPr>
        <w:t>13</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_Toc2468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一、投标人</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_Toc2468 \h </w:instrText>
      </w:r>
      <w:r>
        <w:rPr>
          <w:rFonts w:hint="eastAsia" w:ascii="宋体" w:hAnsi="宋体" w:eastAsia="宋体" w:cs="宋体"/>
          <w:color w:val="auto"/>
        </w:rPr>
        <w:fldChar w:fldCharType="separate"/>
      </w:r>
      <w:r>
        <w:rPr>
          <w:rFonts w:hint="eastAsia" w:ascii="宋体" w:hAnsi="宋体" w:eastAsia="宋体" w:cs="宋体"/>
          <w:color w:val="auto"/>
        </w:rPr>
        <w:t>13</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_Toc16937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二、</w:t>
      </w:r>
      <w:r>
        <w:rPr>
          <w:rFonts w:hint="eastAsia" w:ascii="宋体" w:hAnsi="宋体" w:cs="宋体"/>
          <w:color w:val="auto"/>
          <w:szCs w:val="24"/>
          <w:highlight w:val="none"/>
          <w:lang w:val="en-US" w:eastAsia="zh-CN"/>
        </w:rPr>
        <w:t>询价</w:t>
      </w:r>
      <w:r>
        <w:rPr>
          <w:rFonts w:hint="eastAsia" w:ascii="宋体" w:hAnsi="宋体" w:eastAsia="宋体" w:cs="宋体"/>
          <w:color w:val="auto"/>
          <w:szCs w:val="24"/>
          <w:highlight w:val="none"/>
        </w:rPr>
        <w:t>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_Toc16937 \h </w:instrText>
      </w:r>
      <w:r>
        <w:rPr>
          <w:rFonts w:hint="eastAsia" w:ascii="宋体" w:hAnsi="宋体" w:eastAsia="宋体" w:cs="宋体"/>
          <w:color w:val="auto"/>
        </w:rPr>
        <w:fldChar w:fldCharType="separate"/>
      </w:r>
      <w:r>
        <w:rPr>
          <w:rFonts w:hint="eastAsia" w:ascii="宋体" w:hAnsi="宋体" w:eastAsia="宋体" w:cs="宋体"/>
          <w:color w:val="auto"/>
        </w:rPr>
        <w:t>13</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_Toc5499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三、投标文件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_Toc5499 \h </w:instrText>
      </w:r>
      <w:r>
        <w:rPr>
          <w:rFonts w:hint="eastAsia" w:ascii="宋体" w:hAnsi="宋体" w:eastAsia="宋体" w:cs="宋体"/>
          <w:color w:val="auto"/>
        </w:rPr>
        <w:fldChar w:fldCharType="separate"/>
      </w:r>
      <w:r>
        <w:rPr>
          <w:rFonts w:hint="eastAsia" w:ascii="宋体" w:hAnsi="宋体" w:eastAsia="宋体" w:cs="宋体"/>
          <w:color w:val="auto"/>
        </w:rPr>
        <w:t>13</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_Toc26192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四、开标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_Toc26192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_Toc3871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五、评标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_Toc3871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_Toc4023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六、定标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_Toc4023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_Toc30227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七、中标通知书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_Toc30227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_Toc16136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八、询问、质疑和投诉</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_Toc16136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_Toc17458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九</w:t>
      </w:r>
      <w:r>
        <w:rPr>
          <w:rFonts w:hint="eastAsia" w:ascii="宋体" w:hAnsi="宋体" w:eastAsia="宋体" w:cs="宋体"/>
          <w:color w:val="auto"/>
          <w:highlight w:val="none"/>
        </w:rPr>
        <w:t>、签订合同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_Toc17458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_Toc16290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6"/>
          <w:highlight w:val="none"/>
        </w:rPr>
        <w:t>第六篇  合同主要条款和格式合同（样本）</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_Toc16290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2"/>
        <w:tabs>
          <w:tab w:val="right" w:leader="dot" w:pos="9412"/>
          <w:tab w:val="clear" w:pos="1260"/>
          <w:tab w:val="clear" w:pos="1685"/>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_Toc24380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6"/>
          <w:highlight w:val="none"/>
        </w:rPr>
        <w:t>第七篇  投标文件格式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_Toc24380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2"/>
        <w:ind w:firstLine="0" w:firstLineChars="0"/>
        <w:rPr>
          <w:rFonts w:hint="eastAsia" w:ascii="宋体" w:hAnsi="宋体" w:eastAsia="宋体" w:cs="宋体"/>
          <w:color w:val="auto"/>
          <w:sz w:val="24"/>
          <w:szCs w:val="24"/>
          <w:highlight w:val="none"/>
        </w:rPr>
        <w:sectPr>
          <w:headerReference r:id="rId4" w:type="first"/>
          <w:headerReference r:id="rId3" w:type="default"/>
          <w:footerReference r:id="rId5" w:type="default"/>
          <w:footerReference r:id="rId6" w:type="even"/>
          <w:pgSz w:w="11907" w:h="16840"/>
          <w:pgMar w:top="1134" w:right="1191" w:bottom="1134" w:left="1304" w:header="964" w:footer="992" w:gutter="0"/>
          <w:pgNumType w:fmt="numberInDash" w:start="2"/>
          <w:cols w:space="720" w:num="1"/>
          <w:docGrid w:linePitch="312" w:charSpace="0"/>
        </w:sectPr>
      </w:pPr>
      <w:r>
        <w:rPr>
          <w:rFonts w:hint="eastAsia" w:ascii="宋体" w:hAnsi="宋体" w:eastAsia="宋体" w:cs="宋体"/>
          <w:color w:val="auto"/>
          <w:szCs w:val="24"/>
          <w:highlight w:val="none"/>
        </w:rPr>
        <w:fldChar w:fldCharType="end"/>
      </w:r>
    </w:p>
    <w:p>
      <w:pPr>
        <w:pStyle w:val="4"/>
        <w:numPr>
          <w:ilvl w:val="0"/>
          <w:numId w:val="2"/>
        </w:numPr>
        <w:tabs>
          <w:tab w:val="left" w:pos="1530"/>
        </w:tabs>
        <w:spacing w:beforeLines="0" w:afterLines="0" w:line="360" w:lineRule="auto"/>
        <w:ind w:left="1531" w:hanging="1531"/>
        <w:rPr>
          <w:rFonts w:hint="eastAsia" w:ascii="宋体" w:hAnsi="宋体" w:eastAsia="宋体" w:cs="宋体"/>
          <w:b/>
          <w:color w:val="auto"/>
          <w:sz w:val="36"/>
          <w:szCs w:val="36"/>
          <w:highlight w:val="none"/>
        </w:rPr>
      </w:pPr>
      <w:bookmarkStart w:id="0" w:name="_Toc13447"/>
      <w:r>
        <w:rPr>
          <w:rFonts w:hint="eastAsia" w:ascii="宋体" w:hAnsi="宋体" w:eastAsia="宋体" w:cs="宋体"/>
          <w:b/>
          <w:color w:val="auto"/>
          <w:sz w:val="36"/>
          <w:szCs w:val="36"/>
          <w:highlight w:val="none"/>
        </w:rPr>
        <w:t>投标邀请书</w:t>
      </w:r>
      <w:bookmarkEnd w:id="0"/>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重庆</w:t>
      </w:r>
      <w:r>
        <w:rPr>
          <w:rFonts w:hint="eastAsia" w:ascii="宋体" w:hAnsi="宋体" w:cs="宋体"/>
          <w:color w:val="auto"/>
          <w:sz w:val="24"/>
          <w:szCs w:val="24"/>
          <w:highlight w:val="none"/>
          <w:lang w:eastAsia="zh-CN"/>
        </w:rPr>
        <w:t>正诺</w:t>
      </w:r>
      <w:r>
        <w:rPr>
          <w:rFonts w:hint="eastAsia" w:ascii="宋体" w:hAnsi="宋体" w:eastAsia="宋体" w:cs="宋体"/>
          <w:color w:val="auto"/>
          <w:sz w:val="24"/>
          <w:szCs w:val="24"/>
          <w:highlight w:val="none"/>
          <w:lang w:eastAsia="zh-CN"/>
        </w:rPr>
        <w:t>工程项目管理有限公司</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lang w:val="en-US" w:eastAsia="zh-CN"/>
        </w:rPr>
        <w:t>秀山土家族苗族自治县人民医院</w:t>
      </w:r>
      <w:r>
        <w:rPr>
          <w:rFonts w:hint="eastAsia" w:ascii="宋体" w:hAnsi="宋体" w:eastAsia="宋体" w:cs="宋体"/>
          <w:color w:val="auto"/>
          <w:sz w:val="24"/>
          <w:szCs w:val="24"/>
          <w:highlight w:val="none"/>
        </w:rPr>
        <w:t>的委托，</w:t>
      </w:r>
      <w:r>
        <w:rPr>
          <w:rFonts w:hint="eastAsia" w:ascii="宋体" w:hAnsi="宋体" w:eastAsia="宋体" w:cs="宋体"/>
          <w:color w:val="auto"/>
          <w:sz w:val="24"/>
          <w:szCs w:val="24"/>
          <w:highlight w:val="none"/>
          <w:lang w:eastAsia="zh-CN"/>
        </w:rPr>
        <w:t>对</w:t>
      </w:r>
      <w:r>
        <w:rPr>
          <w:rFonts w:hint="eastAsia" w:ascii="宋体" w:hAnsi="宋体" w:cs="宋体"/>
          <w:color w:val="auto"/>
          <w:sz w:val="24"/>
          <w:szCs w:val="24"/>
          <w:highlight w:val="none"/>
          <w:lang w:val="en-US" w:eastAsia="zh-CN"/>
        </w:rPr>
        <w:t>秀山县人民医院呼吸道多病原监测项目试剂采购（第二次）</w:t>
      </w:r>
      <w:r>
        <w:rPr>
          <w:rFonts w:hint="eastAsia" w:ascii="宋体" w:hAnsi="宋体" w:eastAsia="宋体" w:cs="宋体"/>
          <w:color w:val="auto"/>
          <w:sz w:val="24"/>
          <w:szCs w:val="24"/>
          <w:highlight w:val="none"/>
          <w:lang w:eastAsia="zh-CN"/>
        </w:rPr>
        <w:t>进</w:t>
      </w:r>
      <w:r>
        <w:rPr>
          <w:rFonts w:hint="eastAsia" w:ascii="宋体" w:hAnsi="宋体" w:eastAsia="宋体" w:cs="宋体"/>
          <w:color w:val="auto"/>
          <w:sz w:val="24"/>
          <w:szCs w:val="24"/>
          <w:highlight w:val="none"/>
        </w:rPr>
        <w:t>行</w:t>
      </w:r>
      <w:r>
        <w:rPr>
          <w:rFonts w:hint="eastAsia" w:ascii="宋体" w:hAnsi="宋体" w:cs="宋体"/>
          <w:color w:val="auto"/>
          <w:sz w:val="24"/>
          <w:szCs w:val="24"/>
          <w:highlight w:val="none"/>
          <w:lang w:val="en-US" w:eastAsia="zh-CN"/>
        </w:rPr>
        <w:t>询价采购</w:t>
      </w:r>
      <w:r>
        <w:rPr>
          <w:rFonts w:hint="eastAsia" w:ascii="宋体" w:hAnsi="宋体" w:eastAsia="宋体" w:cs="宋体"/>
          <w:color w:val="auto"/>
          <w:sz w:val="24"/>
          <w:szCs w:val="24"/>
          <w:highlight w:val="none"/>
        </w:rPr>
        <w:t>，欢迎有资格的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参加投标。</w:t>
      </w:r>
    </w:p>
    <w:p>
      <w:pPr>
        <w:pStyle w:val="5"/>
        <w:spacing w:line="400" w:lineRule="exact"/>
        <w:ind w:firstLine="482" w:firstLineChars="200"/>
        <w:rPr>
          <w:rFonts w:hint="eastAsia" w:ascii="宋体" w:hAnsi="宋体" w:eastAsia="宋体" w:cs="宋体"/>
          <w:b/>
          <w:color w:val="auto"/>
          <w:sz w:val="24"/>
          <w:szCs w:val="24"/>
          <w:highlight w:val="none"/>
        </w:rPr>
      </w:pPr>
      <w:bookmarkStart w:id="1" w:name="_Toc3875"/>
      <w:r>
        <w:rPr>
          <w:rFonts w:hint="eastAsia" w:ascii="宋体" w:hAnsi="宋体" w:eastAsia="宋体" w:cs="宋体"/>
          <w:b/>
          <w:color w:val="auto"/>
          <w:sz w:val="24"/>
          <w:szCs w:val="24"/>
          <w:highlight w:val="none"/>
        </w:rPr>
        <w:t>一、</w:t>
      </w:r>
      <w:r>
        <w:rPr>
          <w:rFonts w:hint="eastAsia" w:cs="宋体"/>
          <w:b/>
          <w:color w:val="auto"/>
          <w:sz w:val="24"/>
          <w:szCs w:val="24"/>
          <w:highlight w:val="none"/>
          <w:lang w:eastAsia="zh-CN"/>
        </w:rPr>
        <w:t>询价</w:t>
      </w:r>
      <w:r>
        <w:rPr>
          <w:rFonts w:hint="eastAsia" w:ascii="宋体" w:hAnsi="宋体" w:eastAsia="宋体" w:cs="宋体"/>
          <w:b/>
          <w:color w:val="auto"/>
          <w:sz w:val="24"/>
          <w:szCs w:val="24"/>
          <w:highlight w:val="none"/>
        </w:rPr>
        <w:t>项目内容</w:t>
      </w:r>
      <w:bookmarkEnd w:id="1"/>
    </w:p>
    <w:tbl>
      <w:tblPr>
        <w:tblStyle w:val="14"/>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245"/>
        <w:gridCol w:w="1789"/>
        <w:gridCol w:w="1684"/>
        <w:gridCol w:w="1614"/>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46" w:type="dxa"/>
            <w:noWrap w:val="0"/>
            <w:vAlign w:val="center"/>
          </w:tcPr>
          <w:p>
            <w:pPr>
              <w:pStyle w:val="3"/>
              <w:spacing w:line="240" w:lineRule="atLeast"/>
              <w:ind w:left="0"/>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245" w:type="dxa"/>
            <w:noWrap w:val="0"/>
            <w:vAlign w:val="center"/>
          </w:tcPr>
          <w:p>
            <w:pPr>
              <w:pStyle w:val="3"/>
              <w:spacing w:line="240" w:lineRule="atLeast"/>
              <w:ind w:left="0"/>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项目</w:t>
            </w:r>
            <w:r>
              <w:rPr>
                <w:rFonts w:hint="eastAsia" w:ascii="宋体" w:hAnsi="宋体" w:eastAsia="宋体" w:cs="宋体"/>
                <w:b/>
                <w:color w:val="auto"/>
                <w:sz w:val="24"/>
                <w:szCs w:val="24"/>
                <w:highlight w:val="none"/>
              </w:rPr>
              <w:t>名称</w:t>
            </w:r>
          </w:p>
        </w:tc>
        <w:tc>
          <w:tcPr>
            <w:tcW w:w="1789" w:type="dxa"/>
            <w:noWrap w:val="0"/>
            <w:vAlign w:val="center"/>
          </w:tcPr>
          <w:p>
            <w:pPr>
              <w:pStyle w:val="3"/>
              <w:spacing w:line="240" w:lineRule="atLeast"/>
              <w:ind w:left="0"/>
              <w:jc w:val="center"/>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最高限价（</w:t>
            </w:r>
            <w:r>
              <w:rPr>
                <w:rFonts w:hint="eastAsia" w:ascii="宋体" w:hAnsi="宋体" w:cs="宋体"/>
                <w:b/>
                <w:color w:val="auto"/>
                <w:sz w:val="24"/>
                <w:szCs w:val="24"/>
                <w:highlight w:val="none"/>
                <w:lang w:val="en-US" w:eastAsia="zh-Hans"/>
              </w:rPr>
              <w:t>人民币，</w:t>
            </w:r>
            <w:r>
              <w:rPr>
                <w:rFonts w:hint="eastAsia" w:ascii="宋体" w:hAnsi="宋体" w:eastAsia="宋体" w:cs="宋体"/>
                <w:b/>
                <w:color w:val="auto"/>
                <w:sz w:val="24"/>
                <w:szCs w:val="24"/>
                <w:highlight w:val="none"/>
                <w:lang w:val="en-US" w:eastAsia="zh-CN"/>
              </w:rPr>
              <w:t>年）</w:t>
            </w:r>
          </w:p>
        </w:tc>
        <w:tc>
          <w:tcPr>
            <w:tcW w:w="1684" w:type="dxa"/>
            <w:noWrap w:val="0"/>
            <w:vAlign w:val="center"/>
          </w:tcPr>
          <w:p>
            <w:pPr>
              <w:pStyle w:val="3"/>
              <w:spacing w:line="240" w:lineRule="atLeast"/>
              <w:ind w:left="0"/>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投标保证金</w:t>
            </w:r>
          </w:p>
          <w:p>
            <w:pPr>
              <w:pStyle w:val="3"/>
              <w:spacing w:line="240" w:lineRule="atLeast"/>
              <w:ind w:left="0"/>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Hans"/>
              </w:rPr>
              <w:t>人民币，</w:t>
            </w:r>
            <w:r>
              <w:rPr>
                <w:rFonts w:hint="eastAsia" w:ascii="宋体" w:hAnsi="宋体" w:eastAsia="宋体" w:cs="宋体"/>
                <w:b/>
                <w:color w:val="auto"/>
                <w:sz w:val="24"/>
                <w:szCs w:val="24"/>
                <w:highlight w:val="none"/>
              </w:rPr>
              <w:t>元）</w:t>
            </w:r>
          </w:p>
        </w:tc>
        <w:tc>
          <w:tcPr>
            <w:tcW w:w="1614" w:type="dxa"/>
            <w:noWrap w:val="0"/>
            <w:vAlign w:val="center"/>
          </w:tcPr>
          <w:p>
            <w:pPr>
              <w:pStyle w:val="3"/>
              <w:spacing w:line="240" w:lineRule="atLeast"/>
              <w:ind w:left="0"/>
              <w:jc w:val="center"/>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合格供应商数量（家）</w:t>
            </w:r>
          </w:p>
        </w:tc>
        <w:tc>
          <w:tcPr>
            <w:tcW w:w="1365" w:type="dxa"/>
            <w:noWrap w:val="0"/>
            <w:vAlign w:val="center"/>
          </w:tcPr>
          <w:p>
            <w:pPr>
              <w:pStyle w:val="3"/>
              <w:spacing w:line="240" w:lineRule="atLeast"/>
              <w:ind w:left="0"/>
              <w:jc w:val="center"/>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noWrap w:val="0"/>
            <w:vAlign w:val="center"/>
          </w:tcPr>
          <w:p>
            <w:pPr>
              <w:pStyle w:val="3"/>
              <w:spacing w:line="240" w:lineRule="atLeast"/>
              <w:ind w:left="0"/>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2245" w:type="dxa"/>
            <w:noWrap w:val="0"/>
            <w:vAlign w:val="center"/>
          </w:tcPr>
          <w:p>
            <w:pPr>
              <w:pStyle w:val="3"/>
              <w:spacing w:line="240" w:lineRule="atLeast"/>
              <w:ind w:left="0"/>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秀山县人民医院呼吸道多病原监测项目试剂采购（第二次）</w:t>
            </w:r>
          </w:p>
        </w:tc>
        <w:tc>
          <w:tcPr>
            <w:tcW w:w="1789" w:type="dxa"/>
            <w:noWrap w:val="0"/>
            <w:vAlign w:val="center"/>
          </w:tcPr>
          <w:p>
            <w:pPr>
              <w:pStyle w:val="3"/>
              <w:spacing w:line="240" w:lineRule="atLeast"/>
              <w:ind w:left="0"/>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280</w:t>
            </w:r>
            <w:r>
              <w:rPr>
                <w:rFonts w:hint="eastAsia" w:ascii="宋体" w:hAnsi="宋体" w:eastAsia="宋体" w:cs="宋体"/>
                <w:color w:val="auto"/>
                <w:sz w:val="24"/>
                <w:szCs w:val="24"/>
                <w:highlight w:val="none"/>
                <w:lang w:val="en-US" w:eastAsia="zh-CN"/>
              </w:rPr>
              <w:t>000.00</w:t>
            </w:r>
          </w:p>
        </w:tc>
        <w:tc>
          <w:tcPr>
            <w:tcW w:w="1684" w:type="dxa"/>
            <w:noWrap w:val="0"/>
            <w:vAlign w:val="center"/>
          </w:tcPr>
          <w:p>
            <w:pPr>
              <w:pStyle w:val="3"/>
              <w:spacing w:line="240" w:lineRule="atLeast"/>
              <w:ind w:left="0"/>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000</w:t>
            </w:r>
          </w:p>
        </w:tc>
        <w:tc>
          <w:tcPr>
            <w:tcW w:w="1614" w:type="dxa"/>
            <w:noWrap w:val="0"/>
            <w:vAlign w:val="center"/>
          </w:tcPr>
          <w:p>
            <w:pPr>
              <w:pStyle w:val="3"/>
              <w:spacing w:line="240" w:lineRule="atLeast"/>
              <w:ind w:left="0"/>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365" w:type="dxa"/>
            <w:noWrap w:val="0"/>
            <w:vAlign w:val="center"/>
          </w:tcPr>
          <w:p>
            <w:pPr>
              <w:pStyle w:val="3"/>
              <w:spacing w:line="240" w:lineRule="atLeast"/>
              <w:ind w:left="0"/>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bl>
    <w:p>
      <w:pPr>
        <w:pStyle w:val="5"/>
        <w:spacing w:line="400" w:lineRule="exact"/>
        <w:ind w:firstLine="482" w:firstLineChars="200"/>
        <w:rPr>
          <w:rFonts w:hint="eastAsia" w:ascii="宋体" w:hAnsi="宋体" w:eastAsia="宋体" w:cs="宋体"/>
          <w:b/>
          <w:color w:val="auto"/>
          <w:sz w:val="24"/>
          <w:szCs w:val="24"/>
          <w:highlight w:val="none"/>
        </w:rPr>
      </w:pPr>
      <w:bookmarkStart w:id="2" w:name="_Toc19918"/>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、投标人资格要求</w:t>
      </w:r>
      <w:bookmarkEnd w:id="2"/>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合格投标人应首先符合政府采购法第二十二条规定的基本条件，同时符合根据该项目特点设置的特定资格条件。</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（一）基本资格条件</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w:t>
      </w:r>
      <w:r>
        <w:rPr>
          <w:rFonts w:hint="eastAsia" w:ascii="宋体" w:hAnsi="宋体" w:eastAsia="宋体" w:cs="宋体"/>
          <w:color w:val="auto"/>
          <w:sz w:val="24"/>
          <w:szCs w:val="24"/>
          <w:highlight w:val="none"/>
          <w:lang w:eastAsia="zh-CN"/>
        </w:rPr>
        <w:t>本次</w:t>
      </w:r>
      <w:r>
        <w:rPr>
          <w:rFonts w:hint="eastAsia" w:ascii="宋体" w:hAnsi="宋体" w:eastAsia="宋体" w:cs="宋体"/>
          <w:color w:val="auto"/>
          <w:sz w:val="24"/>
          <w:szCs w:val="24"/>
          <w:highlight w:val="none"/>
        </w:rPr>
        <w:t>采购活动近三年内，在经营活动中没有重大违法记录。</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（二）特定资格条件</w:t>
      </w:r>
    </w:p>
    <w:p>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1、供应商合法的营业执照。</w:t>
      </w:r>
    </w:p>
    <w:p>
      <w:pPr>
        <w:pStyle w:val="5"/>
        <w:spacing w:line="400" w:lineRule="exact"/>
        <w:ind w:firstLine="482" w:firstLineChars="200"/>
        <w:rPr>
          <w:rFonts w:hint="eastAsia" w:ascii="宋体" w:hAnsi="宋体" w:eastAsia="宋体" w:cs="宋体"/>
          <w:b/>
          <w:color w:val="auto"/>
          <w:sz w:val="24"/>
          <w:szCs w:val="24"/>
          <w:highlight w:val="none"/>
        </w:rPr>
      </w:pPr>
      <w:bookmarkStart w:id="3" w:name="_Toc28878"/>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、投标、开标有关说明</w:t>
      </w:r>
      <w:bookmarkEnd w:id="3"/>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文件的获取：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需在</w:t>
      </w:r>
      <w:r>
        <w:rPr>
          <w:rFonts w:hint="eastAsia" w:ascii="宋体" w:hAnsi="宋体" w:eastAsia="宋体" w:cs="宋体"/>
          <w:color w:val="auto"/>
          <w:sz w:val="24"/>
          <w:szCs w:val="24"/>
          <w:highlight w:val="none"/>
          <w:lang w:val="en-US" w:eastAsia="zh-CN"/>
        </w:rPr>
        <w:t>秀山县人民医院官</w:t>
      </w:r>
      <w:r>
        <w:rPr>
          <w:rFonts w:hint="eastAsia" w:ascii="宋体" w:hAnsi="宋体" w:eastAsia="宋体" w:cs="宋体"/>
          <w:color w:val="auto"/>
          <w:sz w:val="24"/>
          <w:szCs w:val="24"/>
          <w:highlight w:val="none"/>
        </w:rPr>
        <w:t>网</w:t>
      </w:r>
      <w:r>
        <w:rPr>
          <w:rFonts w:hint="eastAsia" w:ascii="宋体" w:hAnsi="宋体" w:eastAsia="宋体" w:cs="宋体"/>
          <w:color w:val="auto"/>
          <w:sz w:val="24"/>
          <w:szCs w:val="24"/>
          <w:highlight w:val="none"/>
          <w:lang w:val="en-US" w:eastAsia="zh-CN"/>
        </w:rPr>
        <w:t>上</w:t>
      </w:r>
      <w:r>
        <w:rPr>
          <w:rFonts w:hint="eastAsia" w:ascii="宋体" w:hAnsi="宋体" w:cs="宋体"/>
          <w:color w:val="auto"/>
          <w:sz w:val="24"/>
          <w:szCs w:val="24"/>
          <w:highlight w:val="none"/>
          <w:lang w:val="en-US" w:eastAsia="zh-CN"/>
        </w:rPr>
        <w:t>下载</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文件及相关资料</w:t>
      </w:r>
      <w:r>
        <w:rPr>
          <w:rFonts w:hint="eastAsia" w:ascii="宋体" w:hAnsi="宋体" w:eastAsia="宋体" w:cs="宋体"/>
          <w:b/>
          <w:bCs/>
          <w:color w:val="auto"/>
          <w:sz w:val="24"/>
          <w:szCs w:val="24"/>
          <w:highlight w:val="none"/>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文件公告期限：自</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公告发布之日（</w:t>
      </w:r>
      <w:r>
        <w:rPr>
          <w:rFonts w:hint="eastAsia" w:ascii="宋体" w:hAnsi="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日）起</w:t>
      </w:r>
      <w:r>
        <w:rPr>
          <w:rFonts w:hint="eastAsia" w:ascii="宋体" w:hAnsi="宋体" w:eastAsia="宋体" w:cs="宋体"/>
          <w:color w:val="auto"/>
          <w:sz w:val="24"/>
          <w:szCs w:val="24"/>
          <w:highlight w:val="none"/>
          <w:lang w:val="en-US" w:eastAsia="zh-CN"/>
        </w:rPr>
        <w:t>3日历天</w:t>
      </w:r>
      <w:r>
        <w:rPr>
          <w:rFonts w:hint="eastAsia" w:ascii="宋体" w:hAnsi="宋体" w:eastAsia="宋体" w:cs="宋体"/>
          <w:color w:val="auto"/>
          <w:sz w:val="24"/>
          <w:szCs w:val="24"/>
          <w:highlight w:val="none"/>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文件的获取时间：</w:t>
      </w:r>
      <w:r>
        <w:rPr>
          <w:rFonts w:hint="eastAsia" w:ascii="宋体" w:hAnsi="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文件售价：</w:t>
      </w:r>
      <w:r>
        <w:rPr>
          <w:rFonts w:hint="eastAsia" w:ascii="宋体" w:hAnsi="宋体" w:eastAsia="宋体" w:cs="宋体"/>
          <w:color w:val="auto"/>
          <w:sz w:val="24"/>
          <w:szCs w:val="24"/>
          <w:highlight w:val="none"/>
          <w:lang w:val="en-US" w:eastAsia="zh-CN"/>
        </w:rPr>
        <w:t>500</w:t>
      </w:r>
      <w:r>
        <w:rPr>
          <w:rFonts w:hint="eastAsia" w:ascii="宋体" w:hAnsi="宋体" w:eastAsia="宋体" w:cs="宋体"/>
          <w:color w:val="auto"/>
          <w:sz w:val="24"/>
          <w:szCs w:val="24"/>
          <w:highlight w:val="none"/>
        </w:rPr>
        <w:t>元/份（售后不退），各投标人递交响应文件时在投标地点向采购代理机构缴纳。</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（五）投标地点：</w:t>
      </w:r>
      <w:r>
        <w:rPr>
          <w:rFonts w:hint="eastAsia" w:ascii="宋体" w:hAnsi="宋体" w:eastAsia="宋体" w:cs="宋体"/>
          <w:color w:val="auto"/>
          <w:sz w:val="24"/>
          <w:szCs w:val="24"/>
          <w:highlight w:val="none"/>
          <w:lang w:eastAsia="zh-CN"/>
        </w:rPr>
        <w:t>秀山县</w:t>
      </w:r>
      <w:r>
        <w:rPr>
          <w:rFonts w:hint="eastAsia" w:ascii="宋体" w:hAnsi="宋体" w:eastAsia="宋体" w:cs="宋体"/>
          <w:color w:val="auto"/>
          <w:sz w:val="24"/>
          <w:szCs w:val="24"/>
          <w:highlight w:val="none"/>
        </w:rPr>
        <w:t>人民医院</w:t>
      </w:r>
      <w:r>
        <w:rPr>
          <w:rFonts w:hint="eastAsia" w:ascii="宋体" w:hAnsi="宋体" w:eastAsia="宋体" w:cs="宋体"/>
          <w:color w:val="auto"/>
          <w:sz w:val="24"/>
          <w:szCs w:val="24"/>
          <w:highlight w:val="none"/>
          <w:lang w:eastAsia="zh-CN"/>
        </w:rPr>
        <w:t>医技楼二楼检验科</w:t>
      </w:r>
      <w:r>
        <w:rPr>
          <w:rFonts w:hint="eastAsia" w:ascii="宋体" w:hAnsi="宋体" w:cs="宋体"/>
          <w:color w:val="auto"/>
          <w:sz w:val="24"/>
          <w:szCs w:val="24"/>
          <w:highlight w:val="none"/>
          <w:lang w:eastAsia="zh-CN"/>
        </w:rPr>
        <w:t>学习室</w:t>
      </w:r>
      <w:r>
        <w:rPr>
          <w:rFonts w:hint="eastAsia" w:ascii="宋体" w:hAnsi="宋体" w:eastAsia="宋体" w:cs="宋体"/>
          <w:color w:val="auto"/>
          <w:sz w:val="24"/>
          <w:szCs w:val="24"/>
          <w:highlight w:val="none"/>
        </w:rPr>
        <w:t>。</w:t>
      </w:r>
    </w:p>
    <w:p>
      <w:pPr>
        <w:spacing w:line="400" w:lineRule="exact"/>
        <w:ind w:firstLine="480" w:firstLineChars="2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（六）投标文件递交开始时间：</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 xml:space="preserve">14:30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）投标文件递交截止时间：</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 xml:space="preserve">15:00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30</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 xml:space="preserve">15:00 </w:t>
      </w:r>
      <w:r>
        <w:rPr>
          <w:rFonts w:hint="eastAsia" w:ascii="宋体" w:hAnsi="宋体" w:eastAsia="宋体" w:cs="宋体"/>
          <w:color w:val="auto"/>
          <w:sz w:val="24"/>
          <w:szCs w:val="24"/>
          <w:highlight w:val="none"/>
        </w:rPr>
        <w:t>。</w:t>
      </w:r>
    </w:p>
    <w:p>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秀山县</w:t>
      </w:r>
      <w:r>
        <w:rPr>
          <w:rFonts w:hint="eastAsia" w:ascii="宋体" w:hAnsi="宋体" w:eastAsia="宋体" w:cs="宋体"/>
          <w:color w:val="auto"/>
          <w:sz w:val="24"/>
          <w:szCs w:val="24"/>
          <w:highlight w:val="none"/>
        </w:rPr>
        <w:t>人民医院</w:t>
      </w:r>
      <w:r>
        <w:rPr>
          <w:rFonts w:hint="eastAsia" w:ascii="宋体" w:hAnsi="宋体" w:eastAsia="宋体" w:cs="宋体"/>
          <w:color w:val="auto"/>
          <w:sz w:val="24"/>
          <w:szCs w:val="24"/>
          <w:highlight w:val="none"/>
          <w:lang w:eastAsia="zh-CN"/>
        </w:rPr>
        <w:t>医技楼二楼检验科学习室</w:t>
      </w:r>
      <w:r>
        <w:rPr>
          <w:rFonts w:hint="eastAsia" w:ascii="宋体" w:hAnsi="宋体" w:eastAsia="宋体" w:cs="宋体"/>
          <w:color w:val="auto"/>
          <w:sz w:val="24"/>
          <w:szCs w:val="24"/>
          <w:highlight w:val="none"/>
        </w:rPr>
        <w:t>。</w:t>
      </w:r>
    </w:p>
    <w:p>
      <w:pPr>
        <w:pStyle w:val="5"/>
        <w:spacing w:line="400" w:lineRule="exact"/>
        <w:ind w:firstLine="482" w:firstLineChars="200"/>
        <w:rPr>
          <w:rFonts w:hint="eastAsia" w:ascii="宋体" w:hAnsi="宋体" w:eastAsia="宋体" w:cs="宋体"/>
          <w:b/>
          <w:color w:val="auto"/>
          <w:sz w:val="24"/>
          <w:szCs w:val="24"/>
          <w:highlight w:val="none"/>
        </w:rPr>
      </w:pPr>
      <w:bookmarkStart w:id="4" w:name="_Toc22977"/>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、投标保证金</w:t>
      </w:r>
      <w:bookmarkEnd w:id="4"/>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（一）投标保证金的金额：</w:t>
      </w:r>
      <w:r>
        <w:rPr>
          <w:rFonts w:hint="eastAsia" w:ascii="宋体" w:hAnsi="宋体" w:cs="宋体"/>
          <w:color w:val="auto"/>
          <w:sz w:val="24"/>
          <w:szCs w:val="24"/>
          <w:highlight w:val="none"/>
          <w:lang w:val="en-US" w:eastAsia="zh-Hans"/>
        </w:rPr>
        <w:t>人民币</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000</w:t>
      </w:r>
      <w:r>
        <w:rPr>
          <w:rFonts w:hint="eastAsia" w:ascii="宋体" w:hAnsi="宋体" w:eastAsia="宋体" w:cs="宋体"/>
          <w:color w:val="auto"/>
          <w:sz w:val="24"/>
          <w:szCs w:val="24"/>
          <w:highlight w:val="none"/>
        </w:rPr>
        <w:t>元。</w:t>
      </w:r>
    </w:p>
    <w:p>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（二）投标保证金缴纳时间</w:t>
      </w:r>
      <w:r>
        <w:rPr>
          <w:rFonts w:hint="eastAsia" w:ascii="宋体" w:hAnsi="宋体" w:eastAsia="宋体" w:cs="宋体"/>
          <w:color w:val="auto"/>
          <w:sz w:val="24"/>
          <w:szCs w:val="24"/>
          <w:highlight w:val="none"/>
          <w:lang w:val="en-US" w:eastAsia="zh-CN"/>
        </w:rPr>
        <w:t>与</w:t>
      </w:r>
      <w:r>
        <w:rPr>
          <w:rFonts w:hint="eastAsia" w:ascii="宋体" w:hAnsi="宋体" w:eastAsia="宋体" w:cs="宋体"/>
          <w:color w:val="auto"/>
          <w:sz w:val="24"/>
          <w:szCs w:val="24"/>
          <w:highlight w:val="none"/>
        </w:rPr>
        <w:t>缴纳方式：</w:t>
      </w:r>
      <w:r>
        <w:rPr>
          <w:rFonts w:hint="eastAsia" w:ascii="宋体" w:hAnsi="宋体" w:eastAsia="宋体" w:cs="宋体"/>
          <w:color w:val="auto"/>
          <w:sz w:val="24"/>
          <w:szCs w:val="24"/>
          <w:highlight w:val="none"/>
          <w:lang w:val="en-US" w:eastAsia="zh-CN"/>
        </w:rPr>
        <w:t>投标单位在开标前30分钟内，以现金的形式现场缴纳给代理机构并签字确认。</w:t>
      </w:r>
    </w:p>
    <w:p>
      <w:pPr>
        <w:snapToGrid w:val="0"/>
        <w:spacing w:line="400" w:lineRule="exact"/>
        <w:ind w:firstLine="480" w:firstLineChars="200"/>
        <w:rPr>
          <w:rFonts w:hint="eastAsia" w:ascii="宋体" w:hAnsi="宋体" w:eastAsia="宋体" w:cs="宋体"/>
          <w:b/>
          <w:color w:val="auto"/>
          <w:sz w:val="24"/>
          <w:szCs w:val="24"/>
          <w:highlight w:val="none"/>
        </w:rPr>
      </w:pPr>
      <w:bookmarkStart w:id="5" w:name="_Toc27562768"/>
      <w:bookmarkStart w:id="6" w:name="_Toc27563324"/>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）保证金退还方式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开标结束后，除前三名中标</w:t>
      </w:r>
      <w:r>
        <w:rPr>
          <w:rFonts w:hint="eastAsia" w:ascii="宋体" w:hAnsi="宋体" w:cs="宋体"/>
          <w:color w:val="auto"/>
          <w:sz w:val="24"/>
          <w:szCs w:val="24"/>
          <w:highlight w:val="none"/>
          <w:lang w:val="en-US" w:eastAsia="zh-CN"/>
        </w:rPr>
        <w:t>候选人</w:t>
      </w:r>
      <w:r>
        <w:rPr>
          <w:rFonts w:hint="eastAsia" w:ascii="宋体" w:hAnsi="宋体" w:eastAsia="宋体" w:cs="宋体"/>
          <w:color w:val="auto"/>
          <w:sz w:val="24"/>
          <w:szCs w:val="24"/>
          <w:highlight w:val="none"/>
          <w:lang w:val="en-US" w:eastAsia="zh-CN"/>
        </w:rPr>
        <w:t>保证金由代理公司保管外，其他投标单位保证金现场退还并签字确认，中标</w:t>
      </w:r>
      <w:r>
        <w:rPr>
          <w:rFonts w:hint="eastAsia" w:ascii="宋体" w:hAnsi="宋体" w:cs="宋体"/>
          <w:color w:val="auto"/>
          <w:sz w:val="24"/>
          <w:szCs w:val="24"/>
          <w:highlight w:val="none"/>
          <w:lang w:val="en-US" w:eastAsia="zh-CN"/>
        </w:rPr>
        <w:t>候选人</w:t>
      </w:r>
      <w:r>
        <w:rPr>
          <w:rFonts w:hint="eastAsia" w:ascii="宋体" w:hAnsi="宋体" w:eastAsia="宋体" w:cs="宋体"/>
          <w:color w:val="auto"/>
          <w:sz w:val="24"/>
          <w:szCs w:val="24"/>
          <w:highlight w:val="none"/>
          <w:lang w:val="en-US" w:eastAsia="zh-CN"/>
        </w:rPr>
        <w:t>的投标保证金在中标人缴纳</w:t>
      </w:r>
      <w:r>
        <w:rPr>
          <w:rFonts w:hint="eastAsia" w:ascii="宋体" w:hAnsi="宋体" w:cs="宋体"/>
          <w:color w:val="auto"/>
          <w:sz w:val="24"/>
          <w:szCs w:val="24"/>
          <w:highlight w:val="none"/>
          <w:lang w:val="en-US" w:eastAsia="zh-CN"/>
        </w:rPr>
        <w:t>询价</w:t>
      </w:r>
      <w:r>
        <w:rPr>
          <w:rFonts w:hint="eastAsia" w:ascii="宋体" w:hAnsi="宋体" w:eastAsia="宋体" w:cs="宋体"/>
          <w:color w:val="auto"/>
          <w:sz w:val="24"/>
          <w:szCs w:val="24"/>
          <w:highlight w:val="none"/>
          <w:lang w:val="en-US" w:eastAsia="zh-CN"/>
        </w:rPr>
        <w:t>代理服务费后5个工作日内，由代理机构以现金的方式退还。</w:t>
      </w:r>
      <w:r>
        <w:rPr>
          <w:rFonts w:hint="eastAsia" w:ascii="宋体" w:hAnsi="宋体" w:eastAsia="宋体" w:cs="宋体"/>
          <w:color w:val="auto"/>
          <w:sz w:val="24"/>
          <w:szCs w:val="24"/>
          <w:highlight w:val="none"/>
        </w:rPr>
        <w:br w:type="textWrapping"/>
      </w:r>
      <w:bookmarkEnd w:id="5"/>
      <w:bookmarkEnd w:id="6"/>
      <w:bookmarkStart w:id="7" w:name="_Toc25601"/>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color w:val="auto"/>
          <w:kern w:val="2"/>
          <w:sz w:val="24"/>
          <w:szCs w:val="24"/>
          <w:highlight w:val="none"/>
          <w:lang w:val="en-US" w:eastAsia="zh-CN" w:bidi="ar-SA"/>
        </w:rPr>
        <w:t xml:space="preserve"> 五、</w:t>
      </w:r>
      <w:r>
        <w:rPr>
          <w:rFonts w:hint="eastAsia" w:ascii="宋体" w:hAnsi="宋体" w:eastAsia="宋体" w:cs="宋体"/>
          <w:b/>
          <w:color w:val="auto"/>
          <w:sz w:val="24"/>
          <w:szCs w:val="24"/>
          <w:highlight w:val="none"/>
        </w:rPr>
        <w:t>投标有关规定</w:t>
      </w:r>
      <w:bookmarkEnd w:id="7"/>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，不得参加同一合同项（分包）下的政府采购活动。</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）本项目的补遗文件（如果有）一律在</w:t>
      </w:r>
      <w:r>
        <w:rPr>
          <w:rFonts w:hint="eastAsia" w:ascii="宋体" w:hAnsi="宋体" w:eastAsia="宋体" w:cs="宋体"/>
          <w:color w:val="auto"/>
          <w:sz w:val="24"/>
          <w:szCs w:val="24"/>
          <w:highlight w:val="none"/>
          <w:lang w:val="en-US" w:eastAsia="zh-CN"/>
        </w:rPr>
        <w:t>秀山县人民医院官</w:t>
      </w:r>
      <w:r>
        <w:rPr>
          <w:rFonts w:hint="eastAsia" w:ascii="宋体" w:hAnsi="宋体" w:eastAsia="宋体" w:cs="宋体"/>
          <w:color w:val="auto"/>
          <w:sz w:val="24"/>
          <w:szCs w:val="24"/>
          <w:highlight w:val="none"/>
        </w:rPr>
        <w:t>网(https://www.cqxs120.net/)上发布，请各投标人注意下载；无论投标人下载与否，均视同投标人已知晓本项目补遗文件的内容。</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）超过投标截止时间递交的投标文件，恕不接收。</w:t>
      </w:r>
    </w:p>
    <w:p>
      <w:pPr>
        <w:tabs>
          <w:tab w:val="left" w:pos="1255"/>
          <w:tab w:val="left" w:pos="1506"/>
        </w:tabs>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）投标费用：无论投标结果如何，投标人参与本项目投标的所有费用均应由投标人自行承担。</w:t>
      </w:r>
    </w:p>
    <w:p>
      <w:pPr>
        <w:pStyle w:val="5"/>
        <w:spacing w:line="400" w:lineRule="exact"/>
        <w:ind w:firstLine="482" w:firstLineChars="200"/>
        <w:rPr>
          <w:rFonts w:hint="eastAsia" w:ascii="宋体" w:hAnsi="宋体" w:eastAsia="宋体" w:cs="宋体"/>
          <w:b/>
          <w:color w:val="auto"/>
          <w:sz w:val="24"/>
          <w:szCs w:val="24"/>
          <w:highlight w:val="none"/>
        </w:rPr>
      </w:pPr>
      <w:bookmarkStart w:id="8" w:name="_Toc409008863"/>
      <w:bookmarkStart w:id="9" w:name="_Toc1316"/>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、联系方式</w:t>
      </w:r>
      <w:bookmarkEnd w:id="8"/>
      <w:bookmarkEnd w:id="9"/>
    </w:p>
    <w:p>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ascii="宋体" w:hAnsi="宋体" w:eastAsia="宋体" w:cs="宋体"/>
          <w:color w:val="auto"/>
          <w:sz w:val="24"/>
          <w:szCs w:val="24"/>
          <w:highlight w:val="none"/>
          <w:lang w:val="en-US" w:eastAsia="zh-CN"/>
        </w:rPr>
        <w:t>秀山土家族苗族自治县人民医院</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蒋</w:t>
      </w:r>
      <w:r>
        <w:rPr>
          <w:rFonts w:hint="eastAsia" w:ascii="宋体" w:hAnsi="宋体" w:eastAsia="宋体" w:cs="宋体"/>
          <w:color w:val="auto"/>
          <w:sz w:val="24"/>
          <w:szCs w:val="24"/>
          <w:highlight w:val="none"/>
        </w:rPr>
        <w:t>老师</w:t>
      </w:r>
    </w:p>
    <w:p>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话：15178965330</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址：重庆市秀山县中和街道迎凤路205号</w:t>
      </w:r>
    </w:p>
    <w:p>
      <w:pPr>
        <w:snapToGrid w:val="0"/>
        <w:spacing w:line="400" w:lineRule="exact"/>
        <w:ind w:firstLine="480" w:firstLineChars="200"/>
        <w:rPr>
          <w:rFonts w:hint="eastAsia" w:ascii="宋体" w:hAnsi="宋体" w:eastAsia="宋体" w:cs="宋体"/>
          <w:color w:val="auto"/>
          <w:sz w:val="24"/>
          <w:szCs w:val="24"/>
          <w:highlight w:val="none"/>
        </w:rPr>
      </w:pPr>
    </w:p>
    <w:p>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（二）采购代理机构：</w:t>
      </w:r>
      <w:r>
        <w:rPr>
          <w:rFonts w:hint="eastAsia" w:ascii="宋体" w:hAnsi="宋体" w:eastAsia="宋体" w:cs="宋体"/>
          <w:color w:val="auto"/>
          <w:sz w:val="24"/>
          <w:szCs w:val="24"/>
          <w:highlight w:val="none"/>
          <w:lang w:eastAsia="zh-CN"/>
        </w:rPr>
        <w:t>重庆</w:t>
      </w:r>
      <w:r>
        <w:rPr>
          <w:rFonts w:hint="eastAsia" w:ascii="宋体" w:hAnsi="宋体" w:cs="宋体"/>
          <w:color w:val="auto"/>
          <w:sz w:val="24"/>
          <w:szCs w:val="24"/>
          <w:highlight w:val="none"/>
          <w:lang w:eastAsia="zh-CN"/>
        </w:rPr>
        <w:t>正诺</w:t>
      </w:r>
      <w:r>
        <w:rPr>
          <w:rFonts w:hint="eastAsia" w:ascii="宋体" w:hAnsi="宋体" w:eastAsia="宋体" w:cs="宋体"/>
          <w:color w:val="auto"/>
          <w:sz w:val="24"/>
          <w:szCs w:val="24"/>
          <w:highlight w:val="none"/>
          <w:lang w:eastAsia="zh-CN"/>
        </w:rPr>
        <w:t>工程项目管理有限公司</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白</w:t>
      </w:r>
      <w:r>
        <w:rPr>
          <w:rFonts w:hint="eastAsia" w:ascii="宋体" w:hAnsi="宋体" w:eastAsia="宋体" w:cs="宋体"/>
          <w:color w:val="auto"/>
          <w:sz w:val="24"/>
          <w:szCs w:val="24"/>
          <w:highlight w:val="none"/>
          <w:lang w:val="en-US" w:eastAsia="zh-CN"/>
        </w:rPr>
        <w:t>老师</w:t>
      </w:r>
    </w:p>
    <w:p>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15086866332</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址：秀山土家族苗族自治县中和街道花灯街迎春二巷3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号</w:t>
      </w:r>
      <w:bookmarkStart w:id="10" w:name="_Toc29828"/>
      <w:bookmarkStart w:id="11" w:name="_Toc439922648"/>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lang w:val="en-US" w:eastAsia="zh-CN"/>
        </w:rPr>
      </w:pPr>
    </w:p>
    <w:p>
      <w:pPr>
        <w:pStyle w:val="4"/>
        <w:numPr>
          <w:ilvl w:val="0"/>
          <w:numId w:val="0"/>
        </w:numPr>
        <w:tabs>
          <w:tab w:val="left" w:pos="1530"/>
        </w:tabs>
        <w:spacing w:beforeLines="0" w:afterLines="0" w:line="360" w:lineRule="auto"/>
        <w:ind w:left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第二篇</w:t>
      </w:r>
      <w:r>
        <w:rPr>
          <w:rFonts w:hint="eastAsia" w:ascii="宋体" w:hAnsi="宋体" w:eastAsia="宋体" w:cs="宋体"/>
          <w:b/>
          <w:color w:val="auto"/>
          <w:sz w:val="36"/>
          <w:szCs w:val="36"/>
          <w:highlight w:val="none"/>
        </w:rPr>
        <w:t>项目技术要求</w:t>
      </w:r>
      <w:bookmarkEnd w:id="10"/>
      <w:bookmarkEnd w:id="11"/>
    </w:p>
    <w:p>
      <w:pPr>
        <w:pStyle w:val="5"/>
        <w:numPr>
          <w:ilvl w:val="0"/>
          <w:numId w:val="3"/>
        </w:numPr>
        <w:kinsoku/>
        <w:overflowPunct/>
        <w:topLinePunct w:val="0"/>
        <w:autoSpaceDE/>
        <w:autoSpaceDN/>
        <w:bidi w:val="0"/>
        <w:spacing w:line="420" w:lineRule="exact"/>
        <w:ind w:left="-482" w:leftChars="0" w:right="0" w:firstLine="482" w:firstLine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合格供应商供货商品</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5743"/>
        <w:gridCol w:w="1351"/>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430" w:type="dxa"/>
            <w:noWrap w:val="0"/>
            <w:vAlign w:val="center"/>
          </w:tcPr>
          <w:p>
            <w:pPr>
              <w:numPr>
                <w:ilvl w:val="0"/>
                <w:numId w:val="0"/>
              </w:numPr>
              <w:spacing w:line="400" w:lineRule="exact"/>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序号</w:t>
            </w:r>
          </w:p>
        </w:tc>
        <w:tc>
          <w:tcPr>
            <w:tcW w:w="5743" w:type="dxa"/>
            <w:noWrap w:val="0"/>
            <w:vAlign w:val="center"/>
          </w:tcPr>
          <w:p>
            <w:pPr>
              <w:numPr>
                <w:ilvl w:val="0"/>
                <w:numId w:val="0"/>
              </w:numPr>
              <w:spacing w:line="400" w:lineRule="exact"/>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商品名称及内容</w:t>
            </w:r>
          </w:p>
        </w:tc>
        <w:tc>
          <w:tcPr>
            <w:tcW w:w="1351" w:type="dxa"/>
            <w:noWrap w:val="0"/>
            <w:vAlign w:val="center"/>
          </w:tcPr>
          <w:p>
            <w:pPr>
              <w:numPr>
                <w:ilvl w:val="0"/>
                <w:numId w:val="0"/>
              </w:numPr>
              <w:spacing w:line="400" w:lineRule="exact"/>
              <w:jc w:val="center"/>
              <w:rPr>
                <w:rFonts w:hint="default" w:ascii="宋体" w:hAnsi="宋体" w:eastAsia="宋体" w:cs="宋体"/>
                <w:b/>
                <w:color w:val="auto"/>
                <w:sz w:val="24"/>
                <w:szCs w:val="24"/>
                <w:highlight w:val="none"/>
                <w:vertAlign w:val="baseline"/>
                <w:lang w:val="en-US" w:eastAsia="zh-CN"/>
              </w:rPr>
            </w:pPr>
            <w:r>
              <w:rPr>
                <w:rFonts w:hint="eastAsia" w:ascii="宋体" w:hAnsi="宋体" w:cs="宋体"/>
                <w:b/>
                <w:color w:val="auto"/>
                <w:sz w:val="24"/>
                <w:szCs w:val="24"/>
                <w:highlight w:val="none"/>
                <w:vertAlign w:val="baseline"/>
                <w:lang w:val="en-US" w:eastAsia="zh-CN"/>
              </w:rPr>
              <w:t>数量</w:t>
            </w:r>
          </w:p>
        </w:tc>
        <w:tc>
          <w:tcPr>
            <w:tcW w:w="1215" w:type="dxa"/>
            <w:noWrap w:val="0"/>
            <w:vAlign w:val="center"/>
          </w:tcPr>
          <w:p>
            <w:pPr>
              <w:numPr>
                <w:ilvl w:val="0"/>
                <w:numId w:val="0"/>
              </w:numPr>
              <w:spacing w:line="400" w:lineRule="exact"/>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430" w:type="dxa"/>
            <w:noWrap w:val="0"/>
            <w:vAlign w:val="center"/>
          </w:tcPr>
          <w:p>
            <w:pPr>
              <w:numPr>
                <w:ilvl w:val="0"/>
                <w:numId w:val="0"/>
              </w:numPr>
              <w:spacing w:line="400" w:lineRule="exact"/>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1</w:t>
            </w:r>
          </w:p>
        </w:tc>
        <w:tc>
          <w:tcPr>
            <w:tcW w:w="5743" w:type="dxa"/>
            <w:noWrap w:val="0"/>
            <w:vAlign w:val="center"/>
          </w:tcPr>
          <w:p>
            <w:pPr>
              <w:numPr>
                <w:ilvl w:val="0"/>
                <w:numId w:val="0"/>
              </w:numPr>
              <w:spacing w:line="400" w:lineRule="exact"/>
              <w:jc w:val="center"/>
              <w:rPr>
                <w:rFonts w:hint="default" w:ascii="宋体" w:hAnsi="宋体" w:eastAsia="宋体" w:cs="宋体"/>
                <w:b/>
                <w:color w:val="auto"/>
                <w:sz w:val="24"/>
                <w:szCs w:val="24"/>
                <w:highlight w:val="none"/>
                <w:vertAlign w:val="baseline"/>
                <w:lang w:val="en-US" w:eastAsia="zh-CN"/>
              </w:rPr>
            </w:pPr>
            <w:r>
              <w:rPr>
                <w:rFonts w:hint="default" w:ascii="宋体" w:hAnsi="宋体" w:eastAsia="宋体" w:cs="宋体"/>
                <w:b/>
                <w:color w:val="auto"/>
                <w:sz w:val="24"/>
                <w:szCs w:val="24"/>
                <w:highlight w:val="none"/>
                <w:vertAlign w:val="baseline"/>
                <w:lang w:val="en-US" w:eastAsia="zh-CN"/>
              </w:rPr>
              <w:t>呼吸道多病原监测项目试剂</w:t>
            </w:r>
          </w:p>
        </w:tc>
        <w:tc>
          <w:tcPr>
            <w:tcW w:w="1351" w:type="dxa"/>
            <w:noWrap w:val="0"/>
            <w:vAlign w:val="center"/>
          </w:tcPr>
          <w:p>
            <w:pPr>
              <w:numPr>
                <w:ilvl w:val="0"/>
                <w:numId w:val="0"/>
              </w:numPr>
              <w:spacing w:line="400" w:lineRule="exact"/>
              <w:jc w:val="center"/>
              <w:rPr>
                <w:rFonts w:hint="default" w:ascii="宋体" w:hAnsi="宋体" w:eastAsia="宋体" w:cs="宋体"/>
                <w:b/>
                <w:color w:val="auto"/>
                <w:sz w:val="24"/>
                <w:szCs w:val="24"/>
                <w:highlight w:val="none"/>
                <w:vertAlign w:val="baseline"/>
                <w:lang w:val="en-US" w:eastAsia="zh-CN"/>
              </w:rPr>
            </w:pPr>
            <w:r>
              <w:rPr>
                <w:rFonts w:hint="eastAsia" w:ascii="宋体" w:hAnsi="宋体" w:cs="宋体"/>
                <w:b/>
                <w:color w:val="auto"/>
                <w:sz w:val="24"/>
                <w:szCs w:val="24"/>
                <w:highlight w:val="none"/>
                <w:vertAlign w:val="baseline"/>
                <w:lang w:val="en-US" w:eastAsia="zh-CN"/>
              </w:rPr>
              <w:t>810份</w:t>
            </w:r>
          </w:p>
        </w:tc>
        <w:tc>
          <w:tcPr>
            <w:tcW w:w="1215" w:type="dxa"/>
            <w:noWrap w:val="0"/>
            <w:vAlign w:val="center"/>
          </w:tcPr>
          <w:p>
            <w:pPr>
              <w:numPr>
                <w:ilvl w:val="0"/>
                <w:numId w:val="0"/>
              </w:numPr>
              <w:spacing w:line="400" w:lineRule="exact"/>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w:t>
            </w:r>
          </w:p>
        </w:tc>
      </w:tr>
    </w:tbl>
    <w:p>
      <w:pPr>
        <w:snapToGrid w:val="0"/>
        <w:spacing w:line="400" w:lineRule="exact"/>
        <w:ind w:firstLine="480" w:firstLineChars="200"/>
        <w:rPr>
          <w:rFonts w:hint="eastAsia" w:ascii="宋体" w:hAnsi="宋体" w:eastAsia="宋体" w:cs="宋体"/>
          <w:color w:val="auto"/>
          <w:sz w:val="24"/>
          <w:szCs w:val="24"/>
          <w:highlight w:val="none"/>
          <w:lang w:val="en-US" w:eastAsia="zh-CN"/>
        </w:rPr>
      </w:pPr>
      <w:bookmarkStart w:id="12" w:name="_Toc399336613"/>
    </w:p>
    <w:p>
      <w:pPr>
        <w:snapToGrid w:val="0"/>
        <w:spacing w:line="400" w:lineRule="exac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二、项目概况</w:t>
      </w:r>
    </w:p>
    <w:p>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为及时掌握今冬明春急性呼吸道传染病不同病原的流行特征和病原谱变化，提升对重点呼吸道传染病监测预警能力，支持疫情研判、临床救治等工作，按照《国家疾控局综合司关于开展急性呼吸道传染病多病原监测试点工作的通知》相关要求和市委、市政府相关工作部署，结合我县实际开展急性呼吸道传染病多病原监测试点工作。</w:t>
      </w:r>
    </w:p>
    <w:p>
      <w:pPr>
        <w:snapToGrid w:val="0"/>
        <w:spacing w:line="400" w:lineRule="exac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三、项目目标</w:t>
      </w:r>
    </w:p>
    <w:p>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 xml:space="preserve">动态监测急性呼吸道传染病流行病学特征变化和病原学特征变化； </w:t>
      </w:r>
    </w:p>
    <w:p>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 xml:space="preserve">监测流感与新冠病毒等其他呼吸道病毒疫情叠加风险； </w:t>
      </w:r>
    </w:p>
    <w:p>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 xml:space="preserve">提高暴发疫情及时发现和有效处置能力； </w:t>
      </w:r>
    </w:p>
    <w:p>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default" w:ascii="宋体" w:hAnsi="宋体" w:eastAsia="宋体" w:cs="宋体"/>
          <w:color w:val="auto"/>
          <w:sz w:val="24"/>
          <w:szCs w:val="24"/>
          <w:highlight w:val="none"/>
          <w:lang w:val="en-US" w:eastAsia="zh-CN"/>
        </w:rPr>
        <w:t>进一步提高我县急性呼吸道传染病监测网络工作</w:t>
      </w:r>
      <w:r>
        <w:rPr>
          <w:rFonts w:hint="eastAsia" w:ascii="宋体" w:hAnsi="宋体" w:cs="宋体"/>
          <w:color w:val="auto"/>
          <w:sz w:val="24"/>
          <w:szCs w:val="24"/>
          <w:highlight w:val="none"/>
          <w:lang w:val="en-US" w:eastAsia="zh-CN"/>
        </w:rPr>
        <w:t>能力</w:t>
      </w:r>
      <w:r>
        <w:rPr>
          <w:rFonts w:hint="default" w:ascii="宋体" w:hAnsi="宋体" w:eastAsia="宋体" w:cs="宋体"/>
          <w:color w:val="auto"/>
          <w:sz w:val="24"/>
          <w:szCs w:val="24"/>
          <w:highlight w:val="none"/>
          <w:lang w:val="en-US" w:eastAsia="zh-CN"/>
        </w:rPr>
        <w:t xml:space="preserve"> </w:t>
      </w:r>
    </w:p>
    <w:p>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default" w:ascii="宋体" w:hAnsi="宋体" w:eastAsia="宋体" w:cs="宋体"/>
          <w:color w:val="auto"/>
          <w:sz w:val="24"/>
          <w:szCs w:val="24"/>
          <w:highlight w:val="none"/>
          <w:lang w:val="en-US" w:eastAsia="zh-CN"/>
        </w:rPr>
        <w:t>提高应对流行病学和实验室技术能力。</w:t>
      </w:r>
    </w:p>
    <w:p>
      <w:pPr>
        <w:snapToGrid w:val="0"/>
        <w:spacing w:line="400" w:lineRule="exac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四、项目范围和内容</w:t>
      </w:r>
    </w:p>
    <w:p>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（一）病例定义 </w:t>
      </w:r>
    </w:p>
    <w:p>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1.流感样病例（ILI）。发热（体温≥38℃），伴咳嗽或咽痛之一。</w:t>
      </w:r>
    </w:p>
    <w:p>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2.住院严重急性呼吸道感染（SARI）。患者在收入院时或者住院期间，具有以下临床特征：起病有发热时（测量体温≥38℃），伴有咳嗽，且本次发病不超过10天。</w:t>
      </w:r>
    </w:p>
    <w:p>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（二）监测工作要求 </w:t>
      </w:r>
    </w:p>
    <w:p>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1.哨点医院。秀山县人民医院为 2023 年秀山县急性呼吸道传染病多病原监测哨点医院。门急诊 ILI 病例监测科室按照《全国流感监测方案（2017 年版）》（国卫办疾控函〔2017〕296 号）（以下简称《流感监测方案》）要求设置，住院 SARI 病例监测科室包括呼吸内科、儿内科、感染科及上述科室的重症监护室。 </w:t>
      </w:r>
    </w:p>
    <w:p>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2.实验室检测。秀山县人民医院 PCR 实验室开展实验室检测。 </w:t>
      </w:r>
    </w:p>
    <w:p>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（三）标本采集 </w:t>
      </w:r>
    </w:p>
    <w:p>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1.ILI病例。按照《流感监测方案》要求，常规报告ILI病例，采集、保存和运送 ILI 标本。 </w:t>
      </w:r>
    </w:p>
    <w:p>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2.SARI病例。按照《全国新冠病毒感染疫情监测预警工作方案》（国疾控发明电〔2023〕40 号）要求，报告 SARI 病例；每周选择 5 例发病不超过 3 天且因急性呼吸道感染收入院的SARI 病例采集呼吸道标本，标本种类包括咽拭子、鼻拭子、鼻咽拭子、支气管肺泡灌洗液、胸腔穿刺液标本等。SARI 病例的标本采集、保存和运送要求参照ILI标本。</w:t>
      </w:r>
    </w:p>
    <w:p>
      <w:pPr>
        <w:snapToGrid w:val="0"/>
        <w:spacing w:line="400" w:lineRule="exact"/>
        <w:ind w:firstLine="480" w:firstLineChars="200"/>
        <w:rPr>
          <w:rFonts w:hint="default"/>
          <w:lang w:val="en-US" w:eastAsia="zh-CN"/>
        </w:rPr>
      </w:pPr>
      <w:r>
        <w:rPr>
          <w:rFonts w:hint="eastAsia" w:ascii="宋体" w:hAnsi="宋体" w:eastAsia="宋体" w:cs="宋体"/>
          <w:color w:val="auto"/>
          <w:sz w:val="24"/>
          <w:szCs w:val="24"/>
          <w:highlight w:val="none"/>
          <w:lang w:val="en-US" w:eastAsia="zh-CN"/>
        </w:rPr>
        <w:t>3.标本检测。网络实验室每周对每所哨点医院的10份ILI标本和5份SARI病例标本开展呼吸道多病原检测，检测的病原种类包括：RSV、RSV-A、RSV-B、ADV、RV、HPIV、HPIV1、HPIV2、HPIV3、HPIV4、HMPV、EV、HBoV、SARS-CoV-2、普通冠状病毒、OC43、229E、HKU1、NL63、F1uA、F1uB、H1N1、H3N2、肺炎支原体、肺炎衣原体、肺炎链球菌。</w:t>
      </w:r>
      <w:r>
        <w:rPr>
          <w:rFonts w:hint="eastAsia" w:ascii="宋体" w:hAnsi="宋体" w:eastAsia="宋体" w:cs="宋体"/>
          <w:b w:val="0"/>
          <w:bCs w:val="0"/>
          <w:color w:val="auto"/>
          <w:sz w:val="24"/>
          <w:szCs w:val="24"/>
          <w:highlight w:val="none"/>
          <w:lang w:val="en-US" w:eastAsia="zh-CN"/>
        </w:rPr>
        <w:t xml:space="preserve"> </w:t>
      </w:r>
    </w:p>
    <w:p>
      <w:pPr>
        <w:pStyle w:val="5"/>
        <w:numPr>
          <w:ilvl w:val="0"/>
          <w:numId w:val="0"/>
        </w:numPr>
        <w:kinsoku/>
        <w:overflowPunct/>
        <w:topLinePunct w:val="0"/>
        <w:autoSpaceDE/>
        <w:autoSpaceDN/>
        <w:bidi w:val="0"/>
        <w:spacing w:line="420" w:lineRule="exact"/>
        <w:ind w:leftChars="0" w:right="0" w:rightChars="0"/>
        <w:rPr>
          <w:rFonts w:hint="eastAsia" w:eastAsia="宋体" w:cs="宋体"/>
          <w:b/>
          <w:color w:val="auto"/>
          <w:sz w:val="24"/>
          <w:szCs w:val="24"/>
          <w:highlight w:val="none"/>
          <w:lang w:val="en-US" w:eastAsia="zh-CN"/>
        </w:rPr>
      </w:pPr>
      <w:bookmarkStart w:id="13" w:name="_Toc14715"/>
      <w:r>
        <w:rPr>
          <w:rFonts w:hint="eastAsia" w:cs="宋体"/>
          <w:b/>
          <w:color w:val="auto"/>
          <w:sz w:val="24"/>
          <w:szCs w:val="24"/>
          <w:highlight w:val="none"/>
          <w:lang w:val="en-US" w:eastAsia="zh-CN"/>
        </w:rPr>
        <w:t>五、其他要求</w:t>
      </w:r>
    </w:p>
    <w:p>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1.投标单位须自行承诺中标后提供的所有试剂均出自一个厂家，若未提供对采购人造成的一切损失将由供应商承担。（承诺格式自拟）</w:t>
      </w:r>
    </w:p>
    <w:p>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投标单位须自行承诺所投产品能检测出招标文件中列明的病原种类，</w:t>
      </w:r>
      <w:r>
        <w:rPr>
          <w:rFonts w:hint="eastAsia" w:ascii="宋体" w:hAnsi="宋体" w:cs="宋体"/>
          <w:color w:val="auto"/>
          <w:sz w:val="24"/>
          <w:szCs w:val="24"/>
          <w:highlight w:val="none"/>
          <w:lang w:val="en-US" w:eastAsia="zh-CN"/>
        </w:rPr>
        <w:t>且在</w:t>
      </w:r>
      <w:r>
        <w:rPr>
          <w:rFonts w:hint="eastAsia" w:ascii="宋体" w:hAnsi="宋体" w:eastAsia="宋体" w:cs="宋体"/>
          <w:color w:val="auto"/>
          <w:sz w:val="24"/>
          <w:szCs w:val="24"/>
          <w:highlight w:val="none"/>
          <w:lang w:val="en-US" w:eastAsia="zh-CN"/>
        </w:rPr>
        <w:t>中标后，中标人须将试剂样品送于采购人处进行检测，若试剂检测结果未达标，采购人有权不与中标人签订合同并取消其中标资格。（承诺格式自拟）</w:t>
      </w:r>
    </w:p>
    <w:p>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r>
        <w:rPr>
          <w:rFonts w:hint="eastAsia" w:ascii="宋体" w:hAnsi="宋体" w:cs="宋体"/>
          <w:color w:val="auto"/>
          <w:sz w:val="24"/>
          <w:szCs w:val="24"/>
          <w:highlight w:val="none"/>
          <w:lang w:val="en-US" w:eastAsia="zh-CN"/>
        </w:rPr>
        <w:t>为保障采购人及时采购到有效试剂，</w:t>
      </w:r>
      <w:r>
        <w:rPr>
          <w:rFonts w:hint="eastAsia" w:ascii="宋体" w:hAnsi="宋体" w:eastAsia="宋体" w:cs="宋体"/>
          <w:color w:val="auto"/>
          <w:sz w:val="24"/>
          <w:szCs w:val="24"/>
          <w:highlight w:val="none"/>
          <w:lang w:val="en-US" w:eastAsia="zh-CN"/>
        </w:rPr>
        <w:t>若中标人</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试剂样品检测不合格，采购人也可以向第二名</w:t>
      </w:r>
      <w:r>
        <w:rPr>
          <w:rFonts w:hint="eastAsia" w:ascii="宋体" w:hAnsi="宋体" w:cs="宋体"/>
          <w:color w:val="auto"/>
          <w:sz w:val="24"/>
          <w:szCs w:val="24"/>
          <w:highlight w:val="none"/>
          <w:lang w:val="en-US" w:eastAsia="zh-CN"/>
        </w:rPr>
        <w:t>及第三名中标</w:t>
      </w:r>
      <w:r>
        <w:rPr>
          <w:rFonts w:hint="eastAsia" w:ascii="宋体" w:hAnsi="宋体" w:eastAsia="宋体" w:cs="宋体"/>
          <w:color w:val="auto"/>
          <w:sz w:val="24"/>
          <w:szCs w:val="24"/>
          <w:highlight w:val="none"/>
          <w:lang w:val="en-US" w:eastAsia="zh-CN"/>
        </w:rPr>
        <w:t>候选人</w:t>
      </w:r>
      <w:r>
        <w:rPr>
          <w:rFonts w:hint="eastAsia" w:ascii="宋体" w:hAnsi="宋体" w:cs="宋体"/>
          <w:color w:val="auto"/>
          <w:sz w:val="24"/>
          <w:szCs w:val="24"/>
          <w:highlight w:val="none"/>
          <w:lang w:val="en-US" w:eastAsia="zh-CN"/>
        </w:rPr>
        <w:t>按排名先后顺序</w:t>
      </w:r>
      <w:r>
        <w:rPr>
          <w:rFonts w:hint="eastAsia" w:ascii="宋体" w:hAnsi="宋体" w:eastAsia="宋体" w:cs="宋体"/>
          <w:color w:val="auto"/>
          <w:sz w:val="24"/>
          <w:szCs w:val="24"/>
          <w:highlight w:val="none"/>
          <w:lang w:val="en-US" w:eastAsia="zh-CN"/>
        </w:rPr>
        <w:t>进行合作</w:t>
      </w:r>
      <w:r>
        <w:rPr>
          <w:rFonts w:hint="eastAsia" w:ascii="宋体" w:hAnsi="宋体" w:cs="宋体"/>
          <w:color w:val="auto"/>
          <w:sz w:val="24"/>
          <w:szCs w:val="24"/>
          <w:highlight w:val="none"/>
          <w:lang w:val="en-US" w:eastAsia="zh-CN"/>
        </w:rPr>
        <w:t>（合作前须将试剂样品送于</w:t>
      </w:r>
      <w:r>
        <w:rPr>
          <w:rFonts w:hint="eastAsia" w:ascii="宋体" w:hAnsi="宋体" w:eastAsia="宋体" w:cs="宋体"/>
          <w:color w:val="auto"/>
          <w:sz w:val="24"/>
          <w:szCs w:val="24"/>
          <w:highlight w:val="none"/>
          <w:lang w:val="en-US" w:eastAsia="zh-CN"/>
        </w:rPr>
        <w:t>采购人处进行检测</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，检测达标的公司</w:t>
      </w:r>
      <w:r>
        <w:rPr>
          <w:rFonts w:hint="eastAsia" w:ascii="宋体" w:hAnsi="宋体" w:cs="宋体"/>
          <w:color w:val="auto"/>
          <w:sz w:val="24"/>
          <w:szCs w:val="24"/>
          <w:highlight w:val="none"/>
          <w:lang w:val="en-US" w:eastAsia="zh-CN"/>
        </w:rPr>
        <w:t>采购人将与其</w:t>
      </w:r>
      <w:r>
        <w:rPr>
          <w:rFonts w:hint="eastAsia" w:ascii="宋体" w:hAnsi="宋体" w:eastAsia="宋体" w:cs="宋体"/>
          <w:color w:val="auto"/>
          <w:sz w:val="24"/>
          <w:szCs w:val="24"/>
          <w:highlight w:val="none"/>
          <w:lang w:val="en-US" w:eastAsia="zh-CN"/>
        </w:rPr>
        <w:t>签订合同。</w:t>
      </w:r>
    </w:p>
    <w:p>
      <w:pPr>
        <w:pStyle w:val="5"/>
        <w:numPr>
          <w:ilvl w:val="0"/>
          <w:numId w:val="0"/>
        </w:numPr>
        <w:kinsoku/>
        <w:overflowPunct/>
        <w:topLinePunct w:val="0"/>
        <w:autoSpaceDE/>
        <w:autoSpaceDN/>
        <w:bidi w:val="0"/>
        <w:spacing w:line="420" w:lineRule="exact"/>
        <w:ind w:leftChars="0" w:right="0" w:rightChars="0" w:firstLine="477"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End w:id="13"/>
    </w:p>
    <w:p>
      <w:pPr>
        <w:pStyle w:val="4"/>
        <w:numPr>
          <w:ilvl w:val="0"/>
          <w:numId w:val="0"/>
        </w:numPr>
        <w:tabs>
          <w:tab w:val="left" w:pos="1530"/>
        </w:tabs>
        <w:spacing w:beforeLines="0" w:afterLines="0" w:line="360" w:lineRule="auto"/>
        <w:ind w:leftChars="0"/>
        <w:jc w:val="center"/>
        <w:rPr>
          <w:rFonts w:hint="eastAsia" w:ascii="宋体" w:hAnsi="宋体" w:eastAsia="宋体" w:cs="宋体"/>
          <w:b/>
          <w:color w:val="auto"/>
          <w:sz w:val="36"/>
          <w:szCs w:val="36"/>
          <w:highlight w:val="none"/>
        </w:rPr>
      </w:pPr>
      <w:bookmarkStart w:id="14" w:name="_Toc1067"/>
      <w:r>
        <w:rPr>
          <w:rFonts w:hint="eastAsia" w:ascii="宋体" w:hAnsi="宋体" w:eastAsia="宋体" w:cs="宋体"/>
          <w:b/>
          <w:color w:val="auto"/>
          <w:sz w:val="36"/>
          <w:szCs w:val="36"/>
          <w:highlight w:val="none"/>
          <w:lang w:val="en-US" w:eastAsia="zh-CN"/>
        </w:rPr>
        <w:t xml:space="preserve">第三篇 </w:t>
      </w:r>
      <w:r>
        <w:rPr>
          <w:rFonts w:hint="eastAsia" w:ascii="宋体" w:hAnsi="宋体" w:eastAsia="宋体" w:cs="宋体"/>
          <w:b/>
          <w:color w:val="auto"/>
          <w:sz w:val="36"/>
          <w:szCs w:val="36"/>
          <w:highlight w:val="none"/>
        </w:rPr>
        <w:t>项目商务要求</w:t>
      </w:r>
      <w:bookmarkEnd w:id="12"/>
      <w:bookmarkEnd w:id="14"/>
    </w:p>
    <w:p>
      <w:pPr>
        <w:pStyle w:val="5"/>
        <w:pageBreakBefore w:val="0"/>
        <w:widowControl w:val="0"/>
        <w:numPr>
          <w:ilvl w:val="0"/>
          <w:numId w:val="4"/>
        </w:numPr>
        <w:kinsoku/>
        <w:wordWrap/>
        <w:overflowPunct/>
        <w:topLinePunct w:val="0"/>
        <w:autoSpaceDE/>
        <w:autoSpaceDN/>
        <w:bidi w:val="0"/>
        <w:spacing w:line="440" w:lineRule="exact"/>
        <w:ind w:firstLine="482" w:firstLineChars="200"/>
        <w:textAlignment w:val="auto"/>
        <w:rPr>
          <w:rFonts w:hint="eastAsia" w:ascii="宋体" w:hAnsi="宋体" w:eastAsia="宋体" w:cs="宋体"/>
          <w:b/>
          <w:color w:val="auto"/>
          <w:sz w:val="24"/>
          <w:szCs w:val="24"/>
          <w:highlight w:val="none"/>
          <w:lang w:val="en-US" w:eastAsia="zh-CN"/>
        </w:rPr>
      </w:pPr>
      <w:bookmarkStart w:id="15" w:name="_Toc18723"/>
      <w:bookmarkStart w:id="16" w:name="_Toc385333400"/>
      <w:bookmarkStart w:id="17" w:name="_Toc399336615"/>
      <w:bookmarkStart w:id="18" w:name="_Toc267320050"/>
      <w:r>
        <w:rPr>
          <w:rFonts w:hint="eastAsia" w:ascii="黑体" w:hAnsi="黑体" w:eastAsia="黑体" w:cs="黑体"/>
          <w:b/>
          <w:color w:val="auto"/>
          <w:sz w:val="24"/>
          <w:szCs w:val="24"/>
          <w:highlight w:val="none"/>
          <w:lang w:val="en-US" w:eastAsia="zh-CN"/>
        </w:rPr>
        <w:t>合格供应商供货期限</w:t>
      </w:r>
      <w:bookmarkEnd w:id="15"/>
    </w:p>
    <w:p>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自签订合同之日起1年。</w:t>
      </w:r>
    </w:p>
    <w:p>
      <w:pPr>
        <w:pStyle w:val="5"/>
        <w:pageBreakBefore w:val="0"/>
        <w:widowControl w:val="0"/>
        <w:numPr>
          <w:ilvl w:val="0"/>
          <w:numId w:val="4"/>
        </w:numPr>
        <w:kinsoku/>
        <w:wordWrap/>
        <w:overflowPunct/>
        <w:topLinePunct w:val="0"/>
        <w:autoSpaceDE/>
        <w:autoSpaceDN/>
        <w:bidi w:val="0"/>
        <w:spacing w:line="440" w:lineRule="exact"/>
        <w:ind w:firstLine="482" w:firstLineChars="200"/>
        <w:textAlignment w:val="auto"/>
        <w:rPr>
          <w:rFonts w:hint="eastAsia" w:ascii="宋体" w:hAnsi="宋体" w:eastAsia="宋体" w:cs="宋体"/>
          <w:b/>
          <w:color w:val="auto"/>
          <w:sz w:val="24"/>
          <w:szCs w:val="24"/>
          <w:highlight w:val="none"/>
        </w:rPr>
      </w:pPr>
      <w:bookmarkStart w:id="19" w:name="_Toc5011"/>
      <w:r>
        <w:rPr>
          <w:rFonts w:hint="eastAsia" w:ascii="黑体" w:hAnsi="黑体" w:eastAsia="黑体" w:cs="黑体"/>
          <w:b/>
          <w:color w:val="auto"/>
          <w:sz w:val="24"/>
          <w:szCs w:val="24"/>
          <w:highlight w:val="none"/>
          <w:lang w:val="en-US" w:eastAsia="zh-CN"/>
        </w:rPr>
        <w:t>合格供应商供货地点</w:t>
      </w:r>
      <w:bookmarkEnd w:id="19"/>
    </w:p>
    <w:p>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秀山县人民医院。</w:t>
      </w:r>
      <w:bookmarkEnd w:id="16"/>
      <w:bookmarkEnd w:id="17"/>
    </w:p>
    <w:bookmarkEnd w:id="18"/>
    <w:p>
      <w:pPr>
        <w:pStyle w:val="4"/>
        <w:pageBreakBefore w:val="0"/>
        <w:widowControl w:val="0"/>
        <w:numPr>
          <w:ilvl w:val="0"/>
          <w:numId w:val="0"/>
        </w:numPr>
        <w:tabs>
          <w:tab w:val="left" w:pos="1530"/>
        </w:tabs>
        <w:kinsoku/>
        <w:wordWrap/>
        <w:overflowPunct/>
        <w:topLinePunct w:val="0"/>
        <w:autoSpaceDE/>
        <w:autoSpaceDN/>
        <w:bidi w:val="0"/>
        <w:spacing w:beforeLines="0" w:afterLines="0" w:line="440" w:lineRule="exact"/>
        <w:ind w:firstLine="482" w:firstLineChars="200"/>
        <w:jc w:val="left"/>
        <w:textAlignment w:val="auto"/>
        <w:rPr>
          <w:rFonts w:hint="eastAsia" w:ascii="宋体" w:hAnsi="宋体" w:eastAsia="宋体" w:cs="宋体"/>
          <w:b/>
          <w:bCs/>
          <w:color w:val="auto"/>
          <w:sz w:val="24"/>
          <w:szCs w:val="24"/>
          <w:highlight w:val="none"/>
          <w:lang w:val="en-US" w:eastAsia="zh-CN"/>
        </w:rPr>
      </w:pPr>
      <w:bookmarkStart w:id="20" w:name="_Toc7738"/>
      <w:bookmarkStart w:id="21" w:name="_Toc3815"/>
      <w:r>
        <w:rPr>
          <w:rFonts w:hint="eastAsia" w:ascii="黑体" w:hAnsi="黑体" w:cs="黑体"/>
          <w:b/>
          <w:color w:val="auto"/>
          <w:sz w:val="24"/>
          <w:szCs w:val="24"/>
          <w:highlight w:val="none"/>
          <w:lang w:val="en-US" w:eastAsia="zh-CN"/>
        </w:rPr>
        <w:t>三、</w:t>
      </w:r>
      <w:r>
        <w:rPr>
          <w:rFonts w:hint="eastAsia" w:ascii="黑体" w:hAnsi="黑体" w:eastAsia="黑体" w:cs="黑体"/>
          <w:b/>
          <w:color w:val="auto"/>
          <w:sz w:val="24"/>
          <w:szCs w:val="24"/>
          <w:highlight w:val="none"/>
          <w:lang w:val="en-US" w:eastAsia="zh-CN"/>
        </w:rPr>
        <w:t>合格供应商供货商品及售后服务要求</w:t>
      </w:r>
      <w:bookmarkEnd w:id="20"/>
      <w:bookmarkEnd w:id="21"/>
      <w:r>
        <w:rPr>
          <w:rFonts w:hint="eastAsia" w:ascii="宋体" w:hAnsi="宋体" w:eastAsia="宋体" w:cs="宋体"/>
          <w:b/>
          <w:bCs/>
          <w:color w:val="auto"/>
          <w:sz w:val="24"/>
          <w:szCs w:val="24"/>
          <w:highlight w:val="none"/>
          <w:lang w:val="en-US" w:eastAsia="zh-CN"/>
        </w:rPr>
        <w:t>：</w:t>
      </w:r>
    </w:p>
    <w:p>
      <w:pPr>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（一）合格供应商供货商品的质量标准及包装要求</w:t>
      </w:r>
    </w:p>
    <w:p>
      <w:pPr>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1.合格供应商供货商品的质量标准：（1）材料品种、规格、数量、技术参数等与采购合同一致，性能指标达到规定的标准；（2）货物技术资料装箱单、合格证等资料齐全，否则不予签单。</w:t>
      </w:r>
    </w:p>
    <w:p>
      <w:pPr>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2.合格供应商供货商品的包装要求：按国家有关规定进行包装，保证商品到达采购人所在地完好无损，如因包装损坏造成产品缺漏、损坏概由合格供应商负责调换、补齐或赔偿。</w:t>
      </w:r>
    </w:p>
    <w:p>
      <w:pPr>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（二）售后服务要求</w:t>
      </w:r>
    </w:p>
    <w:p>
      <w:pPr>
        <w:keepLines w:val="0"/>
        <w:pageBreakBefore w:val="0"/>
        <w:widowControl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合格供应商在协议有效期内应向采购人提供以下基本服务：</w:t>
      </w:r>
    </w:p>
    <w:p>
      <w:pPr>
        <w:keepLines w:val="0"/>
        <w:pageBreakBefore w:val="0"/>
        <w:widowControl w:val="0"/>
        <w:kinsoku/>
        <w:wordWrap/>
        <w:overflowPunct/>
        <w:topLinePunct w:val="0"/>
        <w:autoSpaceDE/>
        <w:autoSpaceDN/>
        <w:bidi w:val="0"/>
        <w:adjustRightInd/>
        <w:snapToGrid w:val="0"/>
        <w:spacing w:line="440" w:lineRule="exact"/>
        <w:ind w:firstLine="5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1.遵守《中华人民共和国产品质量法》和《消费者权益保护法》的相关规定，合格供应商提供的服务标准可高于以上规定，但不得降低。</w:t>
      </w:r>
    </w:p>
    <w:p>
      <w:pPr>
        <w:keepLines w:val="0"/>
        <w:pageBreakBefore w:val="0"/>
        <w:widowControl w:val="0"/>
        <w:kinsoku/>
        <w:wordWrap/>
        <w:overflowPunct/>
        <w:topLinePunct w:val="0"/>
        <w:autoSpaceDE/>
        <w:autoSpaceDN/>
        <w:bidi w:val="0"/>
        <w:adjustRightInd/>
        <w:snapToGrid w:val="0"/>
        <w:spacing w:line="440" w:lineRule="exact"/>
        <w:ind w:firstLine="5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2.为采购人提供售前咨询服务。</w:t>
      </w:r>
    </w:p>
    <w:p>
      <w:pPr>
        <w:keepLines w:val="0"/>
        <w:pageBreakBefore w:val="0"/>
        <w:widowControl w:val="0"/>
        <w:kinsoku/>
        <w:wordWrap/>
        <w:overflowPunct/>
        <w:topLinePunct w:val="0"/>
        <w:autoSpaceDE/>
        <w:autoSpaceDN/>
        <w:bidi w:val="0"/>
        <w:adjustRightInd/>
        <w:snapToGrid w:val="0"/>
        <w:spacing w:line="440" w:lineRule="exact"/>
        <w:ind w:firstLine="5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合格供应商在与采购人签订合同后，合同有效期内，应按采购人要求将所需货物免费送到采购人指定的地点，并完成安装调试。如果在规定期限内调试不合格，合格供应商应按照采购人要求予以换货，如换货后仍不合格，采购人有权要求退货，终止执行合同，合格供应商须承担相应的责任。</w:t>
      </w:r>
    </w:p>
    <w:p>
      <w:pPr>
        <w:keepLines w:val="0"/>
        <w:pageBreakBefore w:val="0"/>
        <w:widowControl w:val="0"/>
        <w:kinsoku/>
        <w:wordWrap/>
        <w:overflowPunct/>
        <w:topLinePunct w:val="0"/>
        <w:autoSpaceDE/>
        <w:autoSpaceDN/>
        <w:bidi w:val="0"/>
        <w:adjustRightInd/>
        <w:snapToGrid w:val="0"/>
        <w:spacing w:line="440" w:lineRule="exact"/>
        <w:ind w:firstLine="5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4.合格供应商供货商品的质量保证期按厂家规定执行。</w:t>
      </w:r>
    </w:p>
    <w:p>
      <w:pPr>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5.合格供应商供货商品在质量保证期内发生故障的，合格</w:t>
      </w:r>
      <w:r>
        <w:rPr>
          <w:rFonts w:hint="eastAsia" w:ascii="宋体" w:hAnsi="宋体" w:eastAsia="宋体" w:cs="宋体"/>
          <w:sz w:val="24"/>
          <w:szCs w:val="24"/>
          <w:lang w:val="en-US" w:eastAsia="zh-CN"/>
        </w:rPr>
        <w:t>供应商应在2小时内响应，电话不能咨询解决的，成交供应商应在24小时到达现场进行处理48小时内解决故障，保证设备正常运行。未按时解决或响应，采购人可自行委托他人解决，采购人所支出的费用由采购人从合格供应商应支款中直接扣除。</w:t>
      </w:r>
    </w:p>
    <w:p>
      <w:pPr>
        <w:keepLines w:val="0"/>
        <w:pageBreakBefore w:val="0"/>
        <w:widowControl w:val="0"/>
        <w:kinsoku/>
        <w:wordWrap/>
        <w:overflowPunct/>
        <w:topLinePunct w:val="0"/>
        <w:autoSpaceDE/>
        <w:autoSpaceDN/>
        <w:bidi w:val="0"/>
        <w:adjustRightInd/>
        <w:snapToGrid w:val="0"/>
        <w:spacing w:line="440" w:lineRule="exact"/>
        <w:ind w:firstLine="5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6.在质量保证期内，合格供应商所派技术人员上门服务的一切费用均由合格供应商自行承担。</w:t>
      </w:r>
    </w:p>
    <w:p>
      <w:pPr>
        <w:keepLines w:val="0"/>
        <w:pageBreakBefore w:val="0"/>
        <w:widowControl w:val="0"/>
        <w:kinsoku/>
        <w:wordWrap/>
        <w:overflowPunct/>
        <w:topLinePunct w:val="0"/>
        <w:autoSpaceDE/>
        <w:autoSpaceDN/>
        <w:bidi w:val="0"/>
        <w:adjustRightInd/>
        <w:snapToGrid w:val="0"/>
        <w:spacing w:line="440" w:lineRule="exact"/>
        <w:ind w:firstLine="5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7.合格供应商应对所售货物实行终身服务，质保期后的维修服务只收取材料成本费。</w:t>
      </w:r>
    </w:p>
    <w:p>
      <w:pPr>
        <w:keepLines w:val="0"/>
        <w:pageBreakBefore w:val="0"/>
        <w:widowControl w:val="0"/>
        <w:kinsoku/>
        <w:wordWrap/>
        <w:overflowPunct/>
        <w:topLinePunct w:val="0"/>
        <w:autoSpaceDE/>
        <w:autoSpaceDN/>
        <w:bidi w:val="0"/>
        <w:adjustRightInd/>
        <w:snapToGrid w:val="0"/>
        <w:spacing w:line="440" w:lineRule="exact"/>
        <w:ind w:firstLine="5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8.合格供应商必须履行不低于生产厂家标准的售后服务，否则采购人有权终止合同。</w:t>
      </w:r>
    </w:p>
    <w:p>
      <w:pPr>
        <w:keepLines w:val="0"/>
        <w:pageBreakBefore w:val="0"/>
        <w:widowControl w:val="0"/>
        <w:kinsoku/>
        <w:wordWrap/>
        <w:overflowPunct/>
        <w:topLinePunct w:val="0"/>
        <w:autoSpaceDE/>
        <w:autoSpaceDN/>
        <w:bidi w:val="0"/>
        <w:adjustRightInd/>
        <w:snapToGrid w:val="0"/>
        <w:spacing w:line="440" w:lineRule="exact"/>
        <w:ind w:firstLine="5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（三）其他要求</w:t>
      </w:r>
    </w:p>
    <w:p>
      <w:pPr>
        <w:keepLines w:val="0"/>
        <w:pageBreakBefore w:val="0"/>
        <w:widowControl w:val="0"/>
        <w:kinsoku/>
        <w:wordWrap/>
        <w:overflowPunct/>
        <w:topLinePunct w:val="0"/>
        <w:autoSpaceDE/>
        <w:autoSpaceDN/>
        <w:bidi w:val="0"/>
        <w:adjustRightInd/>
        <w:snapToGrid w:val="0"/>
        <w:spacing w:line="440" w:lineRule="exact"/>
        <w:ind w:firstLine="5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1.方法学准入前必须执行性能验证且性能验证方案必须按照行业规范要求实施，以及性能验证所需试剂耗材由厂家免费提供。</w:t>
      </w:r>
    </w:p>
    <w:p>
      <w:pPr>
        <w:keepLines w:val="0"/>
        <w:pageBreakBefore w:val="0"/>
        <w:widowControl w:val="0"/>
        <w:kinsoku/>
        <w:wordWrap/>
        <w:overflowPunct/>
        <w:topLinePunct w:val="0"/>
        <w:autoSpaceDE/>
        <w:autoSpaceDN/>
        <w:bidi w:val="0"/>
        <w:adjustRightInd/>
        <w:snapToGrid w:val="0"/>
        <w:spacing w:line="440" w:lineRule="exact"/>
        <w:ind w:firstLine="5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2、出现检测系统的问题必须配合仪器厂家共同查找原因，及故障诊断所产生的试剂耗材由厂家免费提供。</w:t>
      </w:r>
    </w:p>
    <w:p>
      <w:pPr>
        <w:keepLines w:val="0"/>
        <w:pageBreakBefore w:val="0"/>
        <w:widowControl w:val="0"/>
        <w:kinsoku/>
        <w:wordWrap/>
        <w:overflowPunct/>
        <w:topLinePunct w:val="0"/>
        <w:autoSpaceDE/>
        <w:autoSpaceDN/>
        <w:bidi w:val="0"/>
        <w:adjustRightInd/>
        <w:snapToGrid w:val="0"/>
        <w:spacing w:line="440" w:lineRule="exact"/>
        <w:ind w:firstLine="5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3、810人份的试剂必须控制两个批号，且效期1年。</w:t>
      </w:r>
    </w:p>
    <w:p>
      <w:pPr>
        <w:keepLines w:val="0"/>
        <w:pageBreakBefore w:val="0"/>
        <w:widowControl w:val="0"/>
        <w:kinsoku/>
        <w:wordWrap/>
        <w:overflowPunct/>
        <w:topLinePunct w:val="0"/>
        <w:autoSpaceDE/>
        <w:autoSpaceDN/>
        <w:bidi w:val="0"/>
        <w:adjustRightInd/>
        <w:snapToGrid w:val="0"/>
        <w:spacing w:line="440" w:lineRule="exact"/>
        <w:ind w:firstLine="540"/>
        <w:textAlignment w:val="auto"/>
        <w:rPr>
          <w:rFonts w:hint="eastAsia"/>
          <w:lang w:val="en-US" w:eastAsia="zh-CN"/>
        </w:rPr>
      </w:pPr>
      <w:r>
        <w:rPr>
          <w:rFonts w:hint="eastAsia" w:ascii="宋体" w:hAnsi="宋体" w:eastAsia="宋体" w:cs="宋体"/>
          <w:color w:val="auto"/>
          <w:kern w:val="2"/>
          <w:sz w:val="24"/>
          <w:szCs w:val="24"/>
          <w:highlight w:val="none"/>
          <w:lang w:val="en-US" w:eastAsia="zh-CN" w:bidi="ar-SA"/>
        </w:rPr>
        <w:t>4、遵守冷链管理制度和按时到货。</w:t>
      </w:r>
    </w:p>
    <w:p>
      <w:pPr>
        <w:pStyle w:val="4"/>
        <w:keepLines w:val="0"/>
        <w:pageBreakBefore w:val="0"/>
        <w:widowControl w:val="0"/>
        <w:numPr>
          <w:ilvl w:val="0"/>
          <w:numId w:val="0"/>
        </w:numPr>
        <w:tabs>
          <w:tab w:val="left" w:pos="1530"/>
        </w:tabs>
        <w:kinsoku/>
        <w:wordWrap/>
        <w:overflowPunct/>
        <w:topLinePunct w:val="0"/>
        <w:autoSpaceDE/>
        <w:autoSpaceDN/>
        <w:bidi w:val="0"/>
        <w:adjustRightInd/>
        <w:snapToGrid w:val="0"/>
        <w:spacing w:beforeLines="0" w:afterLines="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br w:type="page"/>
      </w:r>
      <w:bookmarkStart w:id="22" w:name="_Toc399336621"/>
      <w:bookmarkStart w:id="23" w:name="_Toc433017877"/>
      <w:bookmarkStart w:id="24" w:name="_Toc439922658"/>
      <w:bookmarkStart w:id="25" w:name="_Toc22772"/>
      <w:bookmarkStart w:id="26" w:name="_Toc399336624"/>
      <w:r>
        <w:rPr>
          <w:rFonts w:hint="eastAsia" w:ascii="宋体" w:hAnsi="宋体" w:eastAsia="宋体" w:cs="宋体"/>
          <w:b/>
          <w:color w:val="auto"/>
          <w:sz w:val="32"/>
          <w:szCs w:val="32"/>
          <w:highlight w:val="none"/>
        </w:rPr>
        <w:t xml:space="preserve">第四篇  </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评标方法、评标标准、无效投标条款和废标条款</w:t>
      </w:r>
      <w:bookmarkEnd w:id="22"/>
      <w:bookmarkEnd w:id="23"/>
      <w:bookmarkEnd w:id="24"/>
      <w:bookmarkEnd w:id="25"/>
    </w:p>
    <w:p>
      <w:pPr>
        <w:pStyle w:val="5"/>
        <w:spacing w:line="400" w:lineRule="exact"/>
        <w:ind w:firstLine="482" w:firstLineChars="200"/>
        <w:rPr>
          <w:rFonts w:hint="eastAsia" w:ascii="宋体" w:hAnsi="宋体" w:eastAsia="宋体" w:cs="宋体"/>
          <w:b/>
          <w:color w:val="auto"/>
          <w:sz w:val="24"/>
          <w:szCs w:val="24"/>
          <w:highlight w:val="none"/>
        </w:rPr>
      </w:pPr>
      <w:bookmarkStart w:id="27" w:name="_Toc433017878"/>
      <w:bookmarkStart w:id="28" w:name="_Toc8928"/>
      <w:bookmarkStart w:id="29" w:name="_Toc439922659"/>
      <w:bookmarkStart w:id="30" w:name="_Toc399336622"/>
      <w:bookmarkStart w:id="31" w:name="_Toc340223152"/>
      <w:r>
        <w:rPr>
          <w:rFonts w:hint="eastAsia" w:ascii="宋体" w:hAnsi="宋体" w:eastAsia="宋体" w:cs="宋体"/>
          <w:b/>
          <w:color w:val="auto"/>
          <w:sz w:val="24"/>
          <w:szCs w:val="24"/>
          <w:highlight w:val="none"/>
        </w:rPr>
        <w:t>一、评标方法</w:t>
      </w:r>
      <w:bookmarkEnd w:id="27"/>
      <w:bookmarkEnd w:id="28"/>
      <w:bookmarkEnd w:id="29"/>
      <w:bookmarkEnd w:id="30"/>
      <w:bookmarkEnd w:id="31"/>
    </w:p>
    <w:p>
      <w:pPr>
        <w:snapToGrid w:val="0"/>
        <w:spacing w:line="400" w:lineRule="exact"/>
        <w:ind w:firstLine="480" w:firstLineChars="200"/>
        <w:rPr>
          <w:rFonts w:hint="eastAsia" w:ascii="宋体" w:hAnsi="宋体" w:eastAsia="宋体" w:cs="宋体"/>
          <w:color w:val="auto"/>
          <w:kern w:val="0"/>
          <w:sz w:val="24"/>
          <w:szCs w:val="24"/>
          <w:highlight w:val="none"/>
        </w:rPr>
      </w:pPr>
      <w:bookmarkStart w:id="32" w:name="_Toc439922660"/>
      <w:bookmarkStart w:id="33" w:name="_Toc430006918"/>
      <w:bookmarkStart w:id="34" w:name="_Toc434318065"/>
      <w:r>
        <w:rPr>
          <w:rFonts w:hint="eastAsia" w:ascii="宋体" w:hAnsi="宋体" w:eastAsia="宋体" w:cs="宋体"/>
          <w:color w:val="auto"/>
          <w:kern w:val="0"/>
          <w:sz w:val="24"/>
          <w:szCs w:val="24"/>
          <w:highlight w:val="none"/>
          <w:lang w:val="en-US" w:eastAsia="zh-CN"/>
        </w:rPr>
        <w:t>1、资格性审查。</w:t>
      </w:r>
      <w:r>
        <w:rPr>
          <w:rFonts w:hint="eastAsia" w:ascii="宋体" w:hAnsi="宋体" w:eastAsia="宋体" w:cs="宋体"/>
          <w:color w:val="auto"/>
          <w:kern w:val="0"/>
          <w:sz w:val="24"/>
          <w:szCs w:val="24"/>
          <w:highlight w:val="none"/>
        </w:rPr>
        <w:t>依据法律法规</w:t>
      </w:r>
      <w:r>
        <w:rPr>
          <w:rFonts w:hint="eastAsia" w:ascii="宋体" w:hAnsi="宋体" w:eastAsia="宋体" w:cs="宋体"/>
          <w:color w:val="auto"/>
          <w:kern w:val="0"/>
          <w:sz w:val="24"/>
          <w:szCs w:val="24"/>
          <w:highlight w:val="none"/>
          <w:lang w:val="en-US" w:eastAsia="zh-CN"/>
        </w:rPr>
        <w:t>和企业采购</w:t>
      </w:r>
      <w:r>
        <w:rPr>
          <w:rFonts w:hint="eastAsia" w:ascii="宋体" w:hAnsi="宋体" w:cs="宋体"/>
          <w:color w:val="auto"/>
          <w:kern w:val="0"/>
          <w:sz w:val="24"/>
          <w:szCs w:val="24"/>
          <w:highlight w:val="none"/>
          <w:lang w:val="en-US" w:eastAsia="zh-CN"/>
        </w:rPr>
        <w:t>询价</w:t>
      </w:r>
      <w:r>
        <w:rPr>
          <w:rFonts w:hint="eastAsia" w:ascii="宋体" w:hAnsi="宋体" w:eastAsia="宋体" w:cs="宋体"/>
          <w:color w:val="auto"/>
          <w:kern w:val="0"/>
          <w:sz w:val="24"/>
          <w:szCs w:val="24"/>
          <w:highlight w:val="none"/>
          <w:lang w:val="en-US" w:eastAsia="zh-CN"/>
        </w:rPr>
        <w:t>文件的规定</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评标委员会</w:t>
      </w:r>
      <w:r>
        <w:rPr>
          <w:rFonts w:hint="eastAsia" w:ascii="宋体" w:hAnsi="宋体" w:eastAsia="宋体" w:cs="宋体"/>
          <w:color w:val="auto"/>
          <w:kern w:val="0"/>
          <w:sz w:val="24"/>
          <w:szCs w:val="24"/>
          <w:highlight w:val="none"/>
        </w:rPr>
        <w:t>对</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投标文件中的资格证明文件进行审查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以确定其是否</w:t>
      </w:r>
      <w:r>
        <w:rPr>
          <w:rFonts w:hint="eastAsia" w:ascii="宋体" w:hAnsi="宋体" w:eastAsia="宋体" w:cs="宋体"/>
          <w:color w:val="auto"/>
          <w:kern w:val="0"/>
          <w:sz w:val="24"/>
          <w:szCs w:val="24"/>
          <w:highlight w:val="none"/>
          <w:lang w:val="en-US" w:eastAsia="zh-CN"/>
        </w:rPr>
        <w:t>具备</w:t>
      </w:r>
      <w:r>
        <w:rPr>
          <w:rFonts w:hint="eastAsia" w:ascii="宋体" w:hAnsi="宋体" w:cs="宋体"/>
          <w:color w:val="auto"/>
          <w:kern w:val="0"/>
          <w:sz w:val="24"/>
          <w:szCs w:val="24"/>
          <w:highlight w:val="none"/>
          <w:lang w:val="en-US" w:eastAsia="zh-CN"/>
        </w:rPr>
        <w:t>询价</w:t>
      </w:r>
      <w:r>
        <w:rPr>
          <w:rFonts w:hint="eastAsia" w:ascii="宋体" w:hAnsi="宋体" w:eastAsia="宋体" w:cs="宋体"/>
          <w:color w:val="auto"/>
          <w:kern w:val="0"/>
          <w:sz w:val="24"/>
          <w:szCs w:val="24"/>
          <w:highlight w:val="none"/>
          <w:lang w:val="en-US" w:eastAsia="zh-CN"/>
        </w:rPr>
        <w:t>资格条件</w:t>
      </w:r>
      <w:r>
        <w:rPr>
          <w:rFonts w:hint="eastAsia" w:ascii="宋体" w:hAnsi="宋体" w:eastAsia="宋体" w:cs="宋体"/>
          <w:color w:val="auto"/>
          <w:kern w:val="0"/>
          <w:sz w:val="24"/>
          <w:szCs w:val="24"/>
          <w:highlight w:val="none"/>
        </w:rPr>
        <w:t>。资格审查资料表如下：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623"/>
        <w:gridCol w:w="3613"/>
        <w:gridCol w:w="3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57" w:type="dxa"/>
            <w:noWrap w:val="0"/>
            <w:vAlign w:val="center"/>
          </w:tcPr>
          <w:p>
            <w:pPr>
              <w:spacing w:line="240" w:lineRule="exact"/>
              <w:jc w:val="cente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序号</w:t>
            </w:r>
          </w:p>
        </w:tc>
        <w:tc>
          <w:tcPr>
            <w:tcW w:w="4236" w:type="dxa"/>
            <w:gridSpan w:val="2"/>
            <w:noWrap w:val="0"/>
            <w:vAlign w:val="center"/>
          </w:tcPr>
          <w:p>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3627" w:type="dxa"/>
            <w:noWrap w:val="0"/>
            <w:vAlign w:val="center"/>
          </w:tcPr>
          <w:p>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657" w:type="dxa"/>
            <w:vMerge w:val="restart"/>
            <w:noWrap w:val="0"/>
            <w:vAlign w:val="center"/>
          </w:tcPr>
          <w:p>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3" w:type="dxa"/>
            <w:vMerge w:val="restart"/>
            <w:noWrap w:val="0"/>
            <w:vAlign w:val="center"/>
          </w:tcPr>
          <w:p>
            <w:pPr>
              <w:kinsoku/>
              <w:overflowPunct/>
              <w:topLinePunct w:val="0"/>
              <w:autoSpaceDE/>
              <w:autoSpaceDN/>
              <w:bidi w:val="0"/>
              <w:spacing w:line="360" w:lineRule="auto"/>
              <w:ind w:left="0" w:right="0" w:hanging="120" w:hanging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w:t>
            </w:r>
          </w:p>
          <w:p>
            <w:pPr>
              <w:kinsoku/>
              <w:overflowPunct/>
              <w:topLinePunct w:val="0"/>
              <w:autoSpaceDE/>
              <w:autoSpaceDN/>
              <w:bidi w:val="0"/>
              <w:spacing w:line="360" w:lineRule="auto"/>
              <w:ind w:left="0" w:right="0" w:hanging="120" w:hanging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w:t>
            </w:r>
          </w:p>
          <w:p>
            <w:pPr>
              <w:kinsoku/>
              <w:overflowPunct/>
              <w:topLinePunct w:val="0"/>
              <w:autoSpaceDE/>
              <w:autoSpaceDN/>
              <w:bidi w:val="0"/>
              <w:spacing w:line="360" w:lineRule="auto"/>
              <w:ind w:left="0" w:right="0" w:hanging="120" w:hanging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p>
            <w:pPr>
              <w:kinsoku/>
              <w:overflowPunct/>
              <w:topLinePunct w:val="0"/>
              <w:autoSpaceDE/>
              <w:autoSpaceDN/>
              <w:bidi w:val="0"/>
              <w:spacing w:line="360" w:lineRule="auto"/>
              <w:ind w:left="0" w:right="0" w:hanging="120" w:hanging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w:t>
            </w:r>
          </w:p>
          <w:p>
            <w:pPr>
              <w:kinsoku/>
              <w:overflowPunct/>
              <w:topLinePunct w:val="0"/>
              <w:autoSpaceDE/>
              <w:autoSpaceDN/>
              <w:bidi w:val="0"/>
              <w:spacing w:line="360" w:lineRule="auto"/>
              <w:ind w:left="0" w:right="0" w:hanging="120" w:hanging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w:t>
            </w:r>
          </w:p>
          <w:p>
            <w:pPr>
              <w:kinsoku/>
              <w:overflowPunct/>
              <w:topLinePunct w:val="0"/>
              <w:autoSpaceDE/>
              <w:autoSpaceDN/>
              <w:bidi w:val="0"/>
              <w:spacing w:line="360" w:lineRule="auto"/>
              <w:ind w:left="0" w:right="0" w:hanging="120" w:hanging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w:t>
            </w:r>
          </w:p>
          <w:p>
            <w:pPr>
              <w:kinsoku/>
              <w:overflowPunct/>
              <w:topLinePunct w:val="0"/>
              <w:autoSpaceDE/>
              <w:autoSpaceDN/>
              <w:bidi w:val="0"/>
              <w:spacing w:line="360" w:lineRule="auto"/>
              <w:ind w:left="0" w:right="0" w:hanging="120" w:hanging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的</w:t>
            </w:r>
          </w:p>
          <w:p>
            <w:pPr>
              <w:kinsoku/>
              <w:overflowPunct/>
              <w:topLinePunct w:val="0"/>
              <w:autoSpaceDE/>
              <w:autoSpaceDN/>
              <w:bidi w:val="0"/>
              <w:spacing w:line="360" w:lineRule="auto"/>
              <w:ind w:left="0" w:right="0" w:hanging="120" w:hanging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w:t>
            </w:r>
          </w:p>
          <w:p>
            <w:pPr>
              <w:kinsoku/>
              <w:overflowPunct/>
              <w:topLinePunct w:val="0"/>
              <w:autoSpaceDE/>
              <w:autoSpaceDN/>
              <w:bidi w:val="0"/>
              <w:spacing w:line="360" w:lineRule="auto"/>
              <w:ind w:left="0" w:right="0" w:hanging="120" w:hanging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w:t>
            </w:r>
          </w:p>
          <w:p>
            <w:pPr>
              <w:kinsoku/>
              <w:overflowPunct/>
              <w:topLinePunct w:val="0"/>
              <w:autoSpaceDE/>
              <w:autoSpaceDN/>
              <w:bidi w:val="0"/>
              <w:spacing w:line="360" w:lineRule="auto"/>
              <w:ind w:left="0" w:right="0" w:hanging="120" w:hanging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w:t>
            </w:r>
          </w:p>
          <w:p>
            <w:pPr>
              <w:kinsoku/>
              <w:overflowPunct/>
              <w:topLinePunct w:val="0"/>
              <w:autoSpaceDE/>
              <w:autoSpaceDN/>
              <w:bidi w:val="0"/>
              <w:spacing w:line="360" w:lineRule="auto"/>
              <w:ind w:left="0" w:right="0" w:hanging="120" w:hanging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格</w:t>
            </w:r>
          </w:p>
          <w:p>
            <w:pPr>
              <w:kinsoku/>
              <w:overflowPunct/>
              <w:topLinePunct w:val="0"/>
              <w:autoSpaceDE/>
              <w:autoSpaceDN/>
              <w:bidi w:val="0"/>
              <w:spacing w:line="360" w:lineRule="auto"/>
              <w:ind w:left="0" w:right="0" w:hanging="120" w:hanging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条</w:t>
            </w:r>
          </w:p>
          <w:p>
            <w:pPr>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4"/>
                <w:szCs w:val="24"/>
                <w:highlight w:val="none"/>
              </w:rPr>
              <w:t>件</w:t>
            </w:r>
          </w:p>
        </w:tc>
        <w:tc>
          <w:tcPr>
            <w:tcW w:w="3613" w:type="dxa"/>
            <w:noWrap w:val="0"/>
            <w:vAlign w:val="center"/>
          </w:tcPr>
          <w:p>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（1）具有独立承担民事责任的能力</w:t>
            </w:r>
          </w:p>
        </w:tc>
        <w:tc>
          <w:tcPr>
            <w:tcW w:w="3627" w:type="dxa"/>
            <w:noWrap w:val="0"/>
            <w:vAlign w:val="center"/>
          </w:tcPr>
          <w:p>
            <w:p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投标人法人营业执照（副本）或事业单位法人证书（副本）或个体工商户营业执照或有效的自然人身份证明、组织机构代码证复印件（注</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\o\ac(○,1)</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 xml:space="preserve">）； </w:t>
            </w:r>
          </w:p>
          <w:p>
            <w:p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57" w:type="dxa"/>
            <w:vMerge w:val="continue"/>
            <w:noWrap w:val="0"/>
            <w:vAlign w:val="center"/>
          </w:tcPr>
          <w:p>
            <w:pPr>
              <w:spacing w:line="240" w:lineRule="exact"/>
              <w:jc w:val="center"/>
              <w:rPr>
                <w:rFonts w:hint="eastAsia" w:ascii="宋体" w:hAnsi="宋体" w:eastAsia="宋体" w:cs="宋体"/>
                <w:color w:val="auto"/>
                <w:kern w:val="0"/>
                <w:sz w:val="24"/>
                <w:szCs w:val="24"/>
                <w:highlight w:val="none"/>
              </w:rPr>
            </w:pPr>
          </w:p>
        </w:tc>
        <w:tc>
          <w:tcPr>
            <w:tcW w:w="623" w:type="dxa"/>
            <w:vMerge w:val="continue"/>
            <w:noWrap w:val="0"/>
            <w:vAlign w:val="center"/>
          </w:tcPr>
          <w:p>
            <w:pPr>
              <w:spacing w:line="240" w:lineRule="exact"/>
              <w:rPr>
                <w:rFonts w:hint="eastAsia" w:ascii="宋体" w:hAnsi="宋体" w:eastAsia="宋体" w:cs="宋体"/>
                <w:color w:val="auto"/>
                <w:kern w:val="0"/>
                <w:sz w:val="22"/>
                <w:szCs w:val="22"/>
                <w:highlight w:val="none"/>
              </w:rPr>
            </w:pPr>
          </w:p>
        </w:tc>
        <w:tc>
          <w:tcPr>
            <w:tcW w:w="3613" w:type="dxa"/>
            <w:noWrap w:val="0"/>
            <w:vAlign w:val="center"/>
          </w:tcPr>
          <w:p>
            <w:p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（2）具有良好的商业信誉和健全的财务会计制度</w:t>
            </w:r>
          </w:p>
        </w:tc>
        <w:tc>
          <w:tcPr>
            <w:tcW w:w="3627" w:type="dxa"/>
            <w:vMerge w:val="restart"/>
            <w:noWrap w:val="0"/>
            <w:vAlign w:val="center"/>
          </w:tcPr>
          <w:p>
            <w:p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57" w:type="dxa"/>
            <w:vMerge w:val="continue"/>
            <w:noWrap w:val="0"/>
            <w:vAlign w:val="center"/>
          </w:tcPr>
          <w:p>
            <w:pPr>
              <w:spacing w:line="240" w:lineRule="exact"/>
              <w:jc w:val="center"/>
              <w:rPr>
                <w:rFonts w:hint="eastAsia" w:ascii="宋体" w:hAnsi="宋体" w:eastAsia="宋体" w:cs="宋体"/>
                <w:color w:val="auto"/>
                <w:kern w:val="0"/>
                <w:sz w:val="24"/>
                <w:szCs w:val="24"/>
                <w:highlight w:val="none"/>
              </w:rPr>
            </w:pPr>
          </w:p>
        </w:tc>
        <w:tc>
          <w:tcPr>
            <w:tcW w:w="623" w:type="dxa"/>
            <w:vMerge w:val="continue"/>
            <w:noWrap w:val="0"/>
            <w:vAlign w:val="center"/>
          </w:tcPr>
          <w:p>
            <w:pPr>
              <w:spacing w:line="240" w:lineRule="exact"/>
              <w:rPr>
                <w:rFonts w:hint="eastAsia" w:ascii="宋体" w:hAnsi="宋体" w:eastAsia="宋体" w:cs="宋体"/>
                <w:color w:val="auto"/>
                <w:kern w:val="0"/>
                <w:sz w:val="22"/>
                <w:szCs w:val="22"/>
                <w:highlight w:val="none"/>
              </w:rPr>
            </w:pPr>
          </w:p>
        </w:tc>
        <w:tc>
          <w:tcPr>
            <w:tcW w:w="3613" w:type="dxa"/>
            <w:noWrap w:val="0"/>
            <w:vAlign w:val="center"/>
          </w:tcPr>
          <w:p>
            <w:p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（3）具有履行合同所必需的设备和专业技术能力</w:t>
            </w:r>
          </w:p>
        </w:tc>
        <w:tc>
          <w:tcPr>
            <w:tcW w:w="3627" w:type="dxa"/>
            <w:vMerge w:val="continue"/>
            <w:noWrap w:val="0"/>
            <w:vAlign w:val="center"/>
          </w:tcPr>
          <w:p>
            <w:pPr>
              <w:spacing w:line="240" w:lineRule="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57" w:type="dxa"/>
            <w:vMerge w:val="continue"/>
            <w:noWrap w:val="0"/>
            <w:vAlign w:val="center"/>
          </w:tcPr>
          <w:p>
            <w:pPr>
              <w:spacing w:line="240" w:lineRule="exact"/>
              <w:jc w:val="center"/>
              <w:rPr>
                <w:rFonts w:hint="eastAsia" w:ascii="宋体" w:hAnsi="宋体" w:eastAsia="宋体" w:cs="宋体"/>
                <w:color w:val="auto"/>
                <w:kern w:val="0"/>
                <w:sz w:val="24"/>
                <w:szCs w:val="24"/>
                <w:highlight w:val="none"/>
              </w:rPr>
            </w:pPr>
          </w:p>
        </w:tc>
        <w:tc>
          <w:tcPr>
            <w:tcW w:w="623" w:type="dxa"/>
            <w:vMerge w:val="continue"/>
            <w:noWrap w:val="0"/>
            <w:vAlign w:val="center"/>
          </w:tcPr>
          <w:p>
            <w:pPr>
              <w:spacing w:line="240" w:lineRule="exact"/>
              <w:rPr>
                <w:rFonts w:hint="eastAsia" w:ascii="宋体" w:hAnsi="宋体" w:eastAsia="宋体" w:cs="宋体"/>
                <w:color w:val="auto"/>
                <w:kern w:val="0"/>
                <w:sz w:val="22"/>
                <w:szCs w:val="22"/>
                <w:highlight w:val="none"/>
              </w:rPr>
            </w:pPr>
          </w:p>
        </w:tc>
        <w:tc>
          <w:tcPr>
            <w:tcW w:w="3613" w:type="dxa"/>
            <w:noWrap w:val="0"/>
            <w:vAlign w:val="center"/>
          </w:tcPr>
          <w:p>
            <w:p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（4）有依法缴纳税收和社会保障金的良好记录</w:t>
            </w:r>
          </w:p>
        </w:tc>
        <w:tc>
          <w:tcPr>
            <w:tcW w:w="3627" w:type="dxa"/>
            <w:vMerge w:val="continue"/>
            <w:noWrap w:val="0"/>
            <w:vAlign w:val="center"/>
          </w:tcPr>
          <w:p>
            <w:pPr>
              <w:spacing w:line="240" w:lineRule="exac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jc w:val="center"/>
        </w:trPr>
        <w:tc>
          <w:tcPr>
            <w:tcW w:w="657" w:type="dxa"/>
            <w:vMerge w:val="continue"/>
            <w:noWrap w:val="0"/>
            <w:vAlign w:val="center"/>
          </w:tcPr>
          <w:p>
            <w:pPr>
              <w:spacing w:line="240" w:lineRule="exact"/>
              <w:jc w:val="center"/>
              <w:rPr>
                <w:rFonts w:hint="eastAsia" w:ascii="宋体" w:hAnsi="宋体" w:eastAsia="宋体" w:cs="宋体"/>
                <w:color w:val="auto"/>
                <w:kern w:val="0"/>
                <w:sz w:val="24"/>
                <w:szCs w:val="24"/>
                <w:highlight w:val="none"/>
              </w:rPr>
            </w:pPr>
          </w:p>
        </w:tc>
        <w:tc>
          <w:tcPr>
            <w:tcW w:w="623" w:type="dxa"/>
            <w:vMerge w:val="continue"/>
            <w:noWrap w:val="0"/>
            <w:vAlign w:val="center"/>
          </w:tcPr>
          <w:p>
            <w:pPr>
              <w:spacing w:line="240" w:lineRule="exact"/>
              <w:rPr>
                <w:rFonts w:hint="eastAsia" w:ascii="宋体" w:hAnsi="宋体" w:eastAsia="宋体" w:cs="宋体"/>
                <w:color w:val="auto"/>
                <w:kern w:val="0"/>
                <w:sz w:val="22"/>
                <w:szCs w:val="22"/>
                <w:highlight w:val="none"/>
              </w:rPr>
            </w:pPr>
          </w:p>
        </w:tc>
        <w:tc>
          <w:tcPr>
            <w:tcW w:w="3613" w:type="dxa"/>
            <w:noWrap w:val="0"/>
            <w:vAlign w:val="center"/>
          </w:tcPr>
          <w:p>
            <w:p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（5）参加</w:t>
            </w:r>
            <w:r>
              <w:rPr>
                <w:rFonts w:hint="eastAsia" w:ascii="宋体" w:hAnsi="宋体" w:eastAsia="宋体" w:cs="宋体"/>
                <w:color w:val="auto"/>
                <w:kern w:val="0"/>
                <w:sz w:val="24"/>
                <w:szCs w:val="24"/>
                <w:highlight w:val="none"/>
                <w:lang w:val="en-US" w:eastAsia="zh-CN"/>
              </w:rPr>
              <w:t>本次采购</w:t>
            </w:r>
            <w:r>
              <w:rPr>
                <w:rFonts w:hint="eastAsia" w:ascii="宋体" w:hAnsi="宋体" w:eastAsia="宋体" w:cs="宋体"/>
                <w:color w:val="auto"/>
                <w:kern w:val="0"/>
                <w:sz w:val="24"/>
                <w:szCs w:val="24"/>
                <w:highlight w:val="none"/>
              </w:rPr>
              <w:t>活动前三年内，在经营活动中没有重大违法记录（注</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\o\ac(○,2)</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w:t>
            </w:r>
          </w:p>
        </w:tc>
        <w:tc>
          <w:tcPr>
            <w:tcW w:w="3627" w:type="dxa"/>
            <w:noWrap w:val="0"/>
            <w:vAlign w:val="center"/>
          </w:tcPr>
          <w:p>
            <w:pPr>
              <w:spacing w:line="24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1.投标人提供书面声明（见格式文件）；</w:t>
            </w:r>
          </w:p>
          <w:p>
            <w:pPr>
              <w:spacing w:line="240" w:lineRule="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2.</w:t>
            </w:r>
            <w:r>
              <w:rPr>
                <w:rFonts w:hint="eastAsia" w:ascii="宋体" w:hAnsi="宋体" w:eastAsia="宋体" w:cs="宋体"/>
                <w:b/>
                <w:color w:val="auto"/>
                <w:kern w:val="0"/>
                <w:sz w:val="24"/>
                <w:szCs w:val="24"/>
                <w:highlight w:val="none"/>
                <w:lang w:val="en-US" w:eastAsia="zh-CN"/>
              </w:rPr>
              <w:t>投标人需在</w:t>
            </w:r>
            <w:r>
              <w:rPr>
                <w:rFonts w:hint="eastAsia" w:ascii="宋体" w:hAnsi="宋体" w:eastAsia="宋体" w:cs="宋体"/>
                <w:b/>
                <w:color w:val="auto"/>
                <w:kern w:val="0"/>
                <w:sz w:val="24"/>
                <w:szCs w:val="24"/>
                <w:highlight w:val="none"/>
              </w:rPr>
              <w:t xml:space="preserve"> “信用中国”网站(www.creditchina.gov.cn)、"中国政府采购网"(www.ccgp.gov.cn</w:t>
            </w:r>
            <w:r>
              <w:rPr>
                <w:rFonts w:hint="eastAsia" w:ascii="宋体" w:hAnsi="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等渠道查询信用记录</w:t>
            </w:r>
            <w:r>
              <w:rPr>
                <w:rFonts w:hint="eastAsia" w:ascii="宋体" w:hAnsi="宋体" w:eastAsia="宋体" w:cs="宋体"/>
                <w:b/>
                <w:color w:val="auto"/>
                <w:kern w:val="0"/>
                <w:sz w:val="24"/>
                <w:szCs w:val="24"/>
                <w:highlight w:val="none"/>
                <w:lang w:val="en-US" w:eastAsia="zh-CN"/>
              </w:rPr>
              <w:t>的截图</w:t>
            </w:r>
            <w:r>
              <w:rPr>
                <w:rFonts w:hint="eastAsia" w:ascii="宋体" w:hAnsi="宋体" w:eastAsia="宋体" w:cs="宋体"/>
                <w:b/>
                <w:color w:val="auto"/>
                <w:kern w:val="0"/>
                <w:sz w:val="24"/>
                <w:szCs w:val="24"/>
                <w:highlight w:val="none"/>
              </w:rPr>
              <w:t>，对列入失信被执行人、重大税收违法案件当事人名单、政府采购严重违法失信行为记录名单的投标人将拒绝其参与政府采购活动。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57" w:type="dxa"/>
            <w:vMerge w:val="continue"/>
            <w:noWrap w:val="0"/>
            <w:vAlign w:val="center"/>
          </w:tcPr>
          <w:p>
            <w:pPr>
              <w:spacing w:line="240" w:lineRule="exact"/>
              <w:jc w:val="center"/>
              <w:rPr>
                <w:rFonts w:hint="eastAsia" w:ascii="宋体" w:hAnsi="宋体" w:eastAsia="宋体" w:cs="宋体"/>
                <w:color w:val="auto"/>
                <w:kern w:val="0"/>
                <w:sz w:val="24"/>
                <w:szCs w:val="24"/>
                <w:highlight w:val="none"/>
              </w:rPr>
            </w:pPr>
          </w:p>
        </w:tc>
        <w:tc>
          <w:tcPr>
            <w:tcW w:w="623" w:type="dxa"/>
            <w:vMerge w:val="continue"/>
            <w:noWrap w:val="0"/>
            <w:vAlign w:val="center"/>
          </w:tcPr>
          <w:p>
            <w:pPr>
              <w:spacing w:line="240" w:lineRule="exact"/>
              <w:rPr>
                <w:rFonts w:hint="eastAsia" w:ascii="宋体" w:hAnsi="宋体" w:eastAsia="宋体" w:cs="宋体"/>
                <w:color w:val="auto"/>
                <w:kern w:val="0"/>
                <w:sz w:val="22"/>
                <w:szCs w:val="22"/>
                <w:highlight w:val="none"/>
              </w:rPr>
            </w:pPr>
          </w:p>
        </w:tc>
        <w:tc>
          <w:tcPr>
            <w:tcW w:w="3613" w:type="dxa"/>
            <w:noWrap w:val="0"/>
            <w:vAlign w:val="center"/>
          </w:tcPr>
          <w:p>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（6）法律、行政法规规定的其他条件</w:t>
            </w:r>
          </w:p>
        </w:tc>
        <w:tc>
          <w:tcPr>
            <w:tcW w:w="3627" w:type="dxa"/>
            <w:noWrap w:val="0"/>
            <w:vAlign w:val="center"/>
          </w:tcPr>
          <w:p>
            <w:pPr>
              <w:spacing w:line="240" w:lineRule="exac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57" w:type="dxa"/>
            <w:noWrap w:val="0"/>
            <w:vAlign w:val="center"/>
          </w:tcPr>
          <w:p>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236" w:type="dxa"/>
            <w:gridSpan w:val="2"/>
            <w:noWrap w:val="0"/>
            <w:vAlign w:val="center"/>
          </w:tcPr>
          <w:p>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特定资格条件</w:t>
            </w:r>
          </w:p>
        </w:tc>
        <w:tc>
          <w:tcPr>
            <w:tcW w:w="3627" w:type="dxa"/>
            <w:noWrap w:val="0"/>
            <w:vAlign w:val="center"/>
          </w:tcPr>
          <w:p>
            <w:p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按第一篇“三、投标人资格要求（二）特定资格条件”的要求提交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57" w:type="dxa"/>
            <w:noWrap w:val="0"/>
            <w:vAlign w:val="center"/>
          </w:tcPr>
          <w:p>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4236" w:type="dxa"/>
            <w:gridSpan w:val="2"/>
            <w:noWrap w:val="0"/>
            <w:vAlign w:val="center"/>
          </w:tcPr>
          <w:p>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投标保证金</w:t>
            </w:r>
          </w:p>
        </w:tc>
        <w:tc>
          <w:tcPr>
            <w:tcW w:w="3627" w:type="dxa"/>
            <w:noWrap w:val="0"/>
            <w:vAlign w:val="center"/>
          </w:tcPr>
          <w:p>
            <w:p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w:t>
            </w:r>
            <w:r>
              <w:rPr>
                <w:rFonts w:hint="eastAsia" w:ascii="宋体" w:hAnsi="宋体" w:cs="宋体"/>
                <w:color w:val="auto"/>
                <w:kern w:val="0"/>
                <w:sz w:val="24"/>
                <w:szCs w:val="24"/>
                <w:highlight w:val="none"/>
                <w:lang w:eastAsia="zh-CN"/>
              </w:rPr>
              <w:t>询价</w:t>
            </w:r>
            <w:r>
              <w:rPr>
                <w:rFonts w:hint="eastAsia" w:ascii="宋体" w:hAnsi="宋体" w:eastAsia="宋体" w:cs="宋体"/>
                <w:color w:val="auto"/>
                <w:kern w:val="0"/>
                <w:sz w:val="24"/>
                <w:szCs w:val="24"/>
                <w:highlight w:val="none"/>
              </w:rPr>
              <w:t>文件的要求足额交纳投标保证金</w:t>
            </w:r>
          </w:p>
        </w:tc>
      </w:tr>
    </w:tbl>
    <w:p>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\o\ac(○,1)</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投标人按“多证合一”登记制度办理营业执照的，组织机构代码证、税务登记证（副本）和社会保险登记证以投标人所提供的营业执照（副本）复印件为准。</w:t>
      </w:r>
    </w:p>
    <w:p>
      <w:pPr>
        <w:pStyle w:val="5"/>
        <w:spacing w:line="400" w:lineRule="exact"/>
        <w:ind w:firstLine="480" w:firstLineChars="200"/>
        <w:rPr>
          <w:rFonts w:hint="eastAsia" w:ascii="宋体" w:hAnsi="宋体" w:eastAsia="宋体" w:cs="宋体"/>
          <w:b/>
          <w:color w:val="auto"/>
          <w:sz w:val="24"/>
          <w:szCs w:val="24"/>
          <w:highlight w:val="none"/>
        </w:rPr>
      </w:pPr>
      <w:bookmarkStart w:id="35" w:name="_Toc8905"/>
      <w:bookmarkStart w:id="36" w:name="_Toc30800"/>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\o\ac(○,2)</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bookmarkEnd w:id="32"/>
      <w:bookmarkEnd w:id="33"/>
      <w:bookmarkEnd w:id="34"/>
      <w:bookmarkEnd w:id="35"/>
      <w:bookmarkEnd w:id="36"/>
    </w:p>
    <w:p>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本次评标采用经评审的最低投标价法。最低投标价法，</w:t>
      </w:r>
      <w:r>
        <w:rPr>
          <w:rFonts w:hint="eastAsia" w:ascii="宋体" w:hAnsi="宋体" w:cs="宋体"/>
          <w:color w:val="auto"/>
          <w:kern w:val="0"/>
          <w:sz w:val="24"/>
          <w:szCs w:val="24"/>
          <w:highlight w:val="none"/>
          <w:lang w:val="en-US" w:eastAsia="zh-CN"/>
        </w:rPr>
        <w:t>是指</w:t>
      </w:r>
      <w:r>
        <w:rPr>
          <w:rFonts w:hint="eastAsia" w:ascii="宋体" w:hAnsi="宋体" w:eastAsia="宋体" w:cs="宋体"/>
          <w:color w:val="auto"/>
          <w:kern w:val="0"/>
          <w:sz w:val="24"/>
          <w:szCs w:val="24"/>
          <w:highlight w:val="none"/>
        </w:rPr>
        <w:t>评标委员会</w:t>
      </w:r>
      <w:r>
        <w:rPr>
          <w:rFonts w:hint="eastAsia" w:ascii="宋体" w:hAnsi="宋体" w:eastAsia="宋体" w:cs="宋体"/>
          <w:b w:val="0"/>
          <w:bCs w:val="0"/>
          <w:color w:val="auto"/>
          <w:kern w:val="0"/>
          <w:sz w:val="24"/>
          <w:szCs w:val="24"/>
          <w:highlight w:val="none"/>
        </w:rPr>
        <w:t>将依照本</w:t>
      </w:r>
      <w:r>
        <w:rPr>
          <w:rFonts w:hint="eastAsia" w:ascii="宋体" w:hAnsi="宋体" w:cs="宋体"/>
          <w:b w:val="0"/>
          <w:bCs w:val="0"/>
          <w:color w:val="auto"/>
          <w:kern w:val="0"/>
          <w:sz w:val="24"/>
          <w:szCs w:val="24"/>
          <w:highlight w:val="none"/>
          <w:lang w:eastAsia="zh-CN"/>
        </w:rPr>
        <w:t>询价文件</w:t>
      </w:r>
      <w:r>
        <w:rPr>
          <w:rFonts w:hint="eastAsia" w:ascii="宋体" w:hAnsi="宋体" w:eastAsia="宋体" w:cs="宋体"/>
          <w:b w:val="0"/>
          <w:bCs w:val="0"/>
          <w:color w:val="auto"/>
          <w:kern w:val="0"/>
          <w:sz w:val="24"/>
          <w:szCs w:val="24"/>
          <w:highlight w:val="none"/>
        </w:rPr>
        <w:t>相关规定对质量和服务均能满足</w:t>
      </w:r>
      <w:r>
        <w:rPr>
          <w:rFonts w:hint="eastAsia" w:ascii="宋体" w:hAnsi="宋体" w:cs="宋体"/>
          <w:b w:val="0"/>
          <w:bCs w:val="0"/>
          <w:color w:val="auto"/>
          <w:kern w:val="0"/>
          <w:sz w:val="24"/>
          <w:szCs w:val="24"/>
          <w:highlight w:val="none"/>
          <w:lang w:val="en-US" w:eastAsia="zh-CN"/>
        </w:rPr>
        <w:t>文件</w:t>
      </w:r>
      <w:r>
        <w:rPr>
          <w:rFonts w:hint="eastAsia" w:ascii="宋体" w:hAnsi="宋体" w:eastAsia="宋体" w:cs="宋体"/>
          <w:b w:val="0"/>
          <w:bCs w:val="0"/>
          <w:color w:val="auto"/>
          <w:kern w:val="0"/>
          <w:sz w:val="24"/>
          <w:szCs w:val="24"/>
          <w:highlight w:val="none"/>
        </w:rPr>
        <w:t>实质性响应要求的</w:t>
      </w:r>
      <w:r>
        <w:rPr>
          <w:rFonts w:hint="eastAsia" w:ascii="宋体" w:hAnsi="宋体" w:cs="宋体"/>
          <w:b w:val="0"/>
          <w:bCs w:val="0"/>
          <w:color w:val="auto"/>
          <w:kern w:val="0"/>
          <w:sz w:val="24"/>
          <w:szCs w:val="24"/>
          <w:highlight w:val="none"/>
          <w:lang w:val="en-US" w:eastAsia="zh-CN"/>
        </w:rPr>
        <w:t>投标人</w:t>
      </w:r>
      <w:r>
        <w:rPr>
          <w:rFonts w:hint="eastAsia" w:ascii="宋体" w:hAnsi="宋体" w:eastAsia="宋体" w:cs="宋体"/>
          <w:b w:val="0"/>
          <w:bCs w:val="0"/>
          <w:color w:val="auto"/>
          <w:kern w:val="0"/>
          <w:sz w:val="24"/>
          <w:szCs w:val="24"/>
          <w:highlight w:val="none"/>
        </w:rPr>
        <w:t>的报价按照由低到高的顺序提出成交候选人</w:t>
      </w:r>
      <w:r>
        <w:rPr>
          <w:rFonts w:hint="eastAsia" w:ascii="宋体" w:hAnsi="宋体" w:eastAsia="宋体" w:cs="宋体"/>
          <w:color w:val="auto"/>
          <w:kern w:val="0"/>
          <w:sz w:val="24"/>
          <w:szCs w:val="24"/>
          <w:highlight w:val="none"/>
        </w:rPr>
        <w:t>评标方法。</w:t>
      </w:r>
    </w:p>
    <w:p>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（一）符合性审查</w:t>
      </w:r>
    </w:p>
    <w:p>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评标委员会应当对符合资格的投标人的投标文件进行符合性审查，以确定其是否满足</w:t>
      </w:r>
      <w:r>
        <w:rPr>
          <w:rFonts w:hint="eastAsia" w:ascii="宋体" w:hAnsi="宋体" w:cs="宋体"/>
          <w:color w:val="auto"/>
          <w:kern w:val="0"/>
          <w:sz w:val="24"/>
          <w:szCs w:val="24"/>
          <w:highlight w:val="none"/>
          <w:lang w:eastAsia="zh-CN"/>
        </w:rPr>
        <w:t>询价</w:t>
      </w:r>
      <w:r>
        <w:rPr>
          <w:rFonts w:hint="eastAsia" w:ascii="宋体" w:hAnsi="宋体" w:eastAsia="宋体" w:cs="宋体"/>
          <w:color w:val="auto"/>
          <w:kern w:val="0"/>
          <w:sz w:val="24"/>
          <w:szCs w:val="24"/>
          <w:highlight w:val="none"/>
        </w:rPr>
        <w:t>文件的实质性要求。符合性审查资料表如下：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705"/>
        <w:gridCol w:w="1910"/>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51" w:type="dxa"/>
            <w:noWrap w:val="0"/>
            <w:vAlign w:val="center"/>
          </w:tcPr>
          <w:p>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615" w:type="dxa"/>
            <w:gridSpan w:val="2"/>
            <w:noWrap w:val="0"/>
            <w:vAlign w:val="center"/>
          </w:tcPr>
          <w:p>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评审因素</w:t>
            </w:r>
          </w:p>
        </w:tc>
        <w:tc>
          <w:tcPr>
            <w:tcW w:w="5213" w:type="dxa"/>
            <w:noWrap w:val="0"/>
            <w:vAlign w:val="center"/>
          </w:tcPr>
          <w:p>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451" w:type="dxa"/>
            <w:vMerge w:val="restart"/>
            <w:noWrap w:val="0"/>
            <w:vAlign w:val="center"/>
          </w:tcPr>
          <w:p>
            <w:pPr>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05" w:type="dxa"/>
            <w:vMerge w:val="restart"/>
            <w:noWrap w:val="0"/>
            <w:vAlign w:val="center"/>
          </w:tcPr>
          <w:p>
            <w:pPr>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有效性审查</w:t>
            </w:r>
          </w:p>
        </w:tc>
        <w:tc>
          <w:tcPr>
            <w:tcW w:w="1910" w:type="dxa"/>
            <w:noWrap w:val="0"/>
            <w:vAlign w:val="center"/>
          </w:tcPr>
          <w:p>
            <w:pPr>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投标文件签署</w:t>
            </w:r>
          </w:p>
        </w:tc>
        <w:tc>
          <w:tcPr>
            <w:tcW w:w="5213" w:type="dxa"/>
            <w:noWrap w:val="0"/>
            <w:vAlign w:val="center"/>
          </w:tcPr>
          <w:p>
            <w:pPr>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451" w:type="dxa"/>
            <w:vMerge w:val="continue"/>
            <w:noWrap w:val="0"/>
            <w:vAlign w:val="center"/>
          </w:tcPr>
          <w:p>
            <w:pPr>
              <w:snapToGrid w:val="0"/>
              <w:spacing w:line="400" w:lineRule="exact"/>
              <w:jc w:val="center"/>
              <w:rPr>
                <w:rFonts w:hint="eastAsia" w:ascii="宋体" w:hAnsi="宋体" w:eastAsia="宋体" w:cs="宋体"/>
                <w:color w:val="auto"/>
                <w:kern w:val="0"/>
                <w:sz w:val="24"/>
                <w:szCs w:val="24"/>
                <w:highlight w:val="none"/>
              </w:rPr>
            </w:pPr>
          </w:p>
        </w:tc>
        <w:tc>
          <w:tcPr>
            <w:tcW w:w="1705" w:type="dxa"/>
            <w:vMerge w:val="continue"/>
            <w:noWrap w:val="0"/>
            <w:vAlign w:val="center"/>
          </w:tcPr>
          <w:p>
            <w:pPr>
              <w:snapToGrid w:val="0"/>
              <w:spacing w:line="400" w:lineRule="exact"/>
              <w:jc w:val="center"/>
              <w:rPr>
                <w:rFonts w:hint="eastAsia" w:ascii="宋体" w:hAnsi="宋体" w:eastAsia="宋体" w:cs="宋体"/>
                <w:color w:val="auto"/>
                <w:kern w:val="0"/>
                <w:sz w:val="24"/>
                <w:szCs w:val="24"/>
                <w:highlight w:val="none"/>
              </w:rPr>
            </w:pPr>
          </w:p>
        </w:tc>
        <w:tc>
          <w:tcPr>
            <w:tcW w:w="1910" w:type="dxa"/>
            <w:noWrap w:val="0"/>
            <w:vAlign w:val="center"/>
          </w:tcPr>
          <w:p>
            <w:pPr>
              <w:snapToGri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法定代表人身份证及授权委托书</w:t>
            </w:r>
          </w:p>
        </w:tc>
        <w:tc>
          <w:tcPr>
            <w:tcW w:w="5213" w:type="dxa"/>
            <w:noWrap w:val="0"/>
            <w:vAlign w:val="center"/>
          </w:tcPr>
          <w:p>
            <w:pPr>
              <w:snapToGrid w:val="0"/>
              <w:spacing w:line="40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法定代表人身份证明及授权委托书有效，符合</w:t>
            </w:r>
            <w:r>
              <w:rPr>
                <w:rFonts w:hint="eastAsia" w:ascii="宋体" w:hAnsi="宋体" w:cs="宋体"/>
                <w:color w:val="auto"/>
                <w:kern w:val="0"/>
                <w:sz w:val="24"/>
                <w:szCs w:val="24"/>
                <w:highlight w:val="none"/>
                <w:lang w:val="en-US" w:eastAsia="zh-CN"/>
              </w:rPr>
              <w:t>询价</w:t>
            </w:r>
            <w:r>
              <w:rPr>
                <w:rFonts w:hint="eastAsia" w:ascii="宋体" w:hAnsi="宋体" w:eastAsia="宋体" w:cs="宋体"/>
                <w:color w:val="auto"/>
                <w:kern w:val="0"/>
                <w:sz w:val="24"/>
                <w:szCs w:val="24"/>
                <w:highlight w:val="none"/>
                <w:lang w:val="en-US" w:eastAsia="zh-CN"/>
              </w:rPr>
              <w:t>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51" w:type="dxa"/>
            <w:vMerge w:val="continue"/>
            <w:noWrap w:val="0"/>
            <w:vAlign w:val="center"/>
          </w:tcPr>
          <w:p>
            <w:pPr>
              <w:snapToGrid w:val="0"/>
              <w:spacing w:line="400" w:lineRule="exact"/>
              <w:ind w:firstLine="480" w:firstLineChars="200"/>
              <w:jc w:val="center"/>
              <w:rPr>
                <w:rFonts w:hint="eastAsia" w:ascii="宋体" w:hAnsi="宋体" w:eastAsia="宋体" w:cs="宋体"/>
                <w:color w:val="auto"/>
                <w:kern w:val="0"/>
                <w:sz w:val="24"/>
                <w:szCs w:val="24"/>
                <w:highlight w:val="none"/>
              </w:rPr>
            </w:pPr>
          </w:p>
        </w:tc>
        <w:tc>
          <w:tcPr>
            <w:tcW w:w="1705" w:type="dxa"/>
            <w:vMerge w:val="continue"/>
            <w:noWrap w:val="0"/>
            <w:vAlign w:val="center"/>
          </w:tcPr>
          <w:p>
            <w:pPr>
              <w:snapToGrid w:val="0"/>
              <w:spacing w:line="400" w:lineRule="exact"/>
              <w:ind w:firstLine="480" w:firstLineChars="200"/>
              <w:jc w:val="center"/>
              <w:rPr>
                <w:rFonts w:hint="eastAsia" w:ascii="宋体" w:hAnsi="宋体" w:eastAsia="宋体" w:cs="宋体"/>
                <w:color w:val="auto"/>
                <w:kern w:val="0"/>
                <w:sz w:val="24"/>
                <w:szCs w:val="24"/>
                <w:highlight w:val="none"/>
              </w:rPr>
            </w:pPr>
          </w:p>
        </w:tc>
        <w:tc>
          <w:tcPr>
            <w:tcW w:w="1910" w:type="dxa"/>
            <w:noWrap w:val="0"/>
            <w:vAlign w:val="center"/>
          </w:tcPr>
          <w:p>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投标方案</w:t>
            </w:r>
          </w:p>
        </w:tc>
        <w:tc>
          <w:tcPr>
            <w:tcW w:w="5213" w:type="dxa"/>
            <w:noWrap w:val="0"/>
            <w:vAlign w:val="center"/>
          </w:tcPr>
          <w:p>
            <w:pPr>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451" w:type="dxa"/>
            <w:vMerge w:val="continue"/>
            <w:noWrap w:val="0"/>
            <w:vAlign w:val="center"/>
          </w:tcPr>
          <w:p>
            <w:pPr>
              <w:snapToGrid w:val="0"/>
              <w:spacing w:line="400" w:lineRule="exact"/>
              <w:ind w:firstLine="480" w:firstLineChars="200"/>
              <w:jc w:val="center"/>
              <w:rPr>
                <w:rFonts w:hint="eastAsia" w:ascii="宋体" w:hAnsi="宋体" w:eastAsia="宋体" w:cs="宋体"/>
                <w:color w:val="auto"/>
                <w:kern w:val="0"/>
                <w:sz w:val="24"/>
                <w:szCs w:val="24"/>
                <w:highlight w:val="none"/>
              </w:rPr>
            </w:pPr>
          </w:p>
        </w:tc>
        <w:tc>
          <w:tcPr>
            <w:tcW w:w="1705" w:type="dxa"/>
            <w:vMerge w:val="continue"/>
            <w:noWrap w:val="0"/>
            <w:vAlign w:val="center"/>
          </w:tcPr>
          <w:p>
            <w:pPr>
              <w:snapToGrid w:val="0"/>
              <w:spacing w:line="400" w:lineRule="exact"/>
              <w:ind w:firstLine="480" w:firstLineChars="200"/>
              <w:jc w:val="center"/>
              <w:rPr>
                <w:rFonts w:hint="eastAsia" w:ascii="宋体" w:hAnsi="宋体" w:eastAsia="宋体" w:cs="宋体"/>
                <w:color w:val="auto"/>
                <w:kern w:val="0"/>
                <w:sz w:val="24"/>
                <w:szCs w:val="24"/>
                <w:highlight w:val="none"/>
              </w:rPr>
            </w:pPr>
          </w:p>
        </w:tc>
        <w:tc>
          <w:tcPr>
            <w:tcW w:w="1910" w:type="dxa"/>
            <w:noWrap w:val="0"/>
            <w:vAlign w:val="center"/>
          </w:tcPr>
          <w:p>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报价唯一</w:t>
            </w:r>
          </w:p>
        </w:tc>
        <w:tc>
          <w:tcPr>
            <w:tcW w:w="5213" w:type="dxa"/>
            <w:noWrap w:val="0"/>
            <w:vAlign w:val="center"/>
          </w:tcPr>
          <w:p>
            <w:pPr>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51" w:type="dxa"/>
            <w:noWrap w:val="0"/>
            <w:vAlign w:val="center"/>
          </w:tcPr>
          <w:p>
            <w:pPr>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705" w:type="dxa"/>
            <w:noWrap w:val="0"/>
            <w:vAlign w:val="center"/>
          </w:tcPr>
          <w:p>
            <w:pPr>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完整性审查</w:t>
            </w:r>
          </w:p>
        </w:tc>
        <w:tc>
          <w:tcPr>
            <w:tcW w:w="1910" w:type="dxa"/>
            <w:noWrap w:val="0"/>
            <w:vAlign w:val="center"/>
          </w:tcPr>
          <w:p>
            <w:pPr>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投标文件份数</w:t>
            </w:r>
          </w:p>
        </w:tc>
        <w:tc>
          <w:tcPr>
            <w:tcW w:w="5213" w:type="dxa"/>
            <w:noWrap w:val="0"/>
            <w:vAlign w:val="center"/>
          </w:tcPr>
          <w:p>
            <w:pPr>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投标文件正、副本数量符合</w:t>
            </w:r>
            <w:r>
              <w:rPr>
                <w:rFonts w:hint="eastAsia" w:ascii="宋体" w:hAnsi="宋体" w:cs="宋体"/>
                <w:color w:val="auto"/>
                <w:kern w:val="0"/>
                <w:sz w:val="24"/>
                <w:szCs w:val="24"/>
                <w:highlight w:val="none"/>
                <w:lang w:eastAsia="zh-CN"/>
              </w:rPr>
              <w:t>询价</w:t>
            </w:r>
            <w:r>
              <w:rPr>
                <w:rFonts w:hint="eastAsia" w:ascii="宋体" w:hAnsi="宋体" w:eastAsia="宋体" w:cs="宋体"/>
                <w:color w:val="auto"/>
                <w:kern w:val="0"/>
                <w:sz w:val="24"/>
                <w:szCs w:val="24"/>
                <w:highlight w:val="none"/>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dxa"/>
            <w:vMerge w:val="restart"/>
            <w:noWrap w:val="0"/>
            <w:vAlign w:val="center"/>
          </w:tcPr>
          <w:p>
            <w:pPr>
              <w:snapToGrid w:val="0"/>
              <w:spacing w:line="40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p>
        </w:tc>
        <w:tc>
          <w:tcPr>
            <w:tcW w:w="1705" w:type="dxa"/>
            <w:vMerge w:val="restart"/>
            <w:noWrap w:val="0"/>
            <w:vAlign w:val="center"/>
          </w:tcPr>
          <w:p>
            <w:pPr>
              <w:snapToGrid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响应程度审查</w:t>
            </w:r>
          </w:p>
        </w:tc>
        <w:tc>
          <w:tcPr>
            <w:tcW w:w="1910" w:type="dxa"/>
            <w:noWrap w:val="0"/>
            <w:vAlign w:val="center"/>
          </w:tcPr>
          <w:p>
            <w:pPr>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投标文件内容</w:t>
            </w:r>
          </w:p>
        </w:tc>
        <w:tc>
          <w:tcPr>
            <w:tcW w:w="5213" w:type="dxa"/>
            <w:noWrap w:val="0"/>
            <w:vAlign w:val="center"/>
          </w:tcPr>
          <w:p>
            <w:pPr>
              <w:snapToGrid w:val="0"/>
              <w:spacing w:line="40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对</w:t>
            </w:r>
            <w:r>
              <w:rPr>
                <w:rFonts w:hint="eastAsia" w:ascii="宋体" w:hAnsi="宋体" w:cs="宋体"/>
                <w:color w:val="auto"/>
                <w:kern w:val="0"/>
                <w:sz w:val="24"/>
                <w:szCs w:val="24"/>
                <w:highlight w:val="none"/>
                <w:lang w:val="en-US" w:eastAsia="zh-CN"/>
              </w:rPr>
              <w:t>询价</w:t>
            </w:r>
            <w:r>
              <w:rPr>
                <w:rFonts w:hint="eastAsia" w:ascii="宋体" w:hAnsi="宋体" w:eastAsia="宋体" w:cs="宋体"/>
                <w:color w:val="auto"/>
                <w:kern w:val="0"/>
                <w:sz w:val="24"/>
                <w:szCs w:val="24"/>
                <w:highlight w:val="none"/>
                <w:lang w:val="en-US" w:eastAsia="zh-CN"/>
              </w:rPr>
              <w:t>文件第二篇规定的</w:t>
            </w:r>
            <w:r>
              <w:rPr>
                <w:rFonts w:hint="eastAsia" w:ascii="宋体" w:hAnsi="宋体" w:cs="宋体"/>
                <w:color w:val="auto"/>
                <w:kern w:val="0"/>
                <w:sz w:val="24"/>
                <w:szCs w:val="24"/>
                <w:highlight w:val="none"/>
                <w:lang w:val="en-US" w:eastAsia="zh-CN"/>
              </w:rPr>
              <w:t>询价</w:t>
            </w:r>
            <w:r>
              <w:rPr>
                <w:rFonts w:hint="eastAsia" w:ascii="宋体" w:hAnsi="宋体" w:eastAsia="宋体" w:cs="宋体"/>
                <w:color w:val="auto"/>
                <w:kern w:val="0"/>
                <w:sz w:val="24"/>
                <w:szCs w:val="24"/>
                <w:highlight w:val="none"/>
                <w:lang w:val="en-US" w:eastAsia="zh-CN"/>
              </w:rPr>
              <w:t>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51" w:type="dxa"/>
            <w:vMerge w:val="continue"/>
            <w:noWrap w:val="0"/>
            <w:vAlign w:val="center"/>
          </w:tcPr>
          <w:p>
            <w:pPr>
              <w:snapToGrid w:val="0"/>
              <w:spacing w:line="400" w:lineRule="exact"/>
              <w:rPr>
                <w:rFonts w:hint="eastAsia" w:ascii="宋体" w:hAnsi="宋体" w:eastAsia="宋体" w:cs="宋体"/>
                <w:color w:val="auto"/>
                <w:kern w:val="0"/>
                <w:sz w:val="24"/>
                <w:szCs w:val="24"/>
                <w:highlight w:val="none"/>
                <w:lang w:val="en-US" w:eastAsia="zh-CN"/>
              </w:rPr>
            </w:pPr>
          </w:p>
        </w:tc>
        <w:tc>
          <w:tcPr>
            <w:tcW w:w="1705" w:type="dxa"/>
            <w:vMerge w:val="continue"/>
            <w:noWrap w:val="0"/>
            <w:vAlign w:val="center"/>
          </w:tcPr>
          <w:p>
            <w:pPr>
              <w:snapToGrid w:val="0"/>
              <w:spacing w:line="400" w:lineRule="exact"/>
              <w:rPr>
                <w:rFonts w:hint="eastAsia" w:ascii="宋体" w:hAnsi="宋体" w:eastAsia="宋体" w:cs="宋体"/>
                <w:color w:val="auto"/>
                <w:kern w:val="0"/>
                <w:sz w:val="24"/>
                <w:szCs w:val="24"/>
                <w:highlight w:val="none"/>
              </w:rPr>
            </w:pPr>
          </w:p>
        </w:tc>
        <w:tc>
          <w:tcPr>
            <w:tcW w:w="1910" w:type="dxa"/>
            <w:noWrap w:val="0"/>
            <w:vAlign w:val="center"/>
          </w:tcPr>
          <w:p>
            <w:pPr>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投标有效期</w:t>
            </w:r>
          </w:p>
        </w:tc>
        <w:tc>
          <w:tcPr>
            <w:tcW w:w="5213" w:type="dxa"/>
            <w:noWrap w:val="0"/>
            <w:vAlign w:val="center"/>
          </w:tcPr>
          <w:p>
            <w:pPr>
              <w:snapToGrid w:val="0"/>
              <w:spacing w:line="40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满足</w:t>
            </w:r>
            <w:r>
              <w:rPr>
                <w:rFonts w:hint="eastAsia" w:ascii="宋体" w:hAnsi="宋体" w:cs="宋体"/>
                <w:color w:val="auto"/>
                <w:kern w:val="0"/>
                <w:sz w:val="24"/>
                <w:szCs w:val="24"/>
                <w:highlight w:val="none"/>
                <w:lang w:val="en-US" w:eastAsia="zh-CN"/>
              </w:rPr>
              <w:t>询价</w:t>
            </w:r>
            <w:r>
              <w:rPr>
                <w:rFonts w:hint="eastAsia" w:ascii="宋体" w:hAnsi="宋体" w:eastAsia="宋体" w:cs="宋体"/>
                <w:color w:val="auto"/>
                <w:kern w:val="0"/>
                <w:sz w:val="24"/>
                <w:szCs w:val="24"/>
                <w:highlight w:val="none"/>
                <w:lang w:val="en-US" w:eastAsia="zh-CN"/>
              </w:rPr>
              <w:t>文件规定。</w:t>
            </w:r>
          </w:p>
        </w:tc>
      </w:tr>
    </w:tbl>
    <w:p>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投标文件的范围或者改变投标文件的实质性内容。</w:t>
      </w:r>
    </w:p>
    <w:p>
      <w:pPr>
        <w:snapToGrid w:val="0"/>
        <w:spacing w:line="40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三</w:t>
      </w:r>
      <w:r>
        <w:rPr>
          <w:rFonts w:hint="eastAsia" w:ascii="宋体" w:hAnsi="宋体" w:eastAsia="宋体" w:cs="宋体"/>
          <w:b/>
          <w:bCs/>
          <w:color w:val="auto"/>
          <w:kern w:val="0"/>
          <w:sz w:val="24"/>
          <w:szCs w:val="24"/>
          <w:highlight w:val="none"/>
        </w:rPr>
        <w:t>）对技术和</w:t>
      </w:r>
      <w:r>
        <w:rPr>
          <w:rFonts w:hint="eastAsia" w:ascii="宋体" w:hAnsi="宋体" w:eastAsia="宋体" w:cs="宋体"/>
          <w:b/>
          <w:bCs/>
          <w:color w:val="auto"/>
          <w:kern w:val="0"/>
          <w:sz w:val="24"/>
          <w:szCs w:val="24"/>
          <w:highlight w:val="none"/>
          <w:lang w:val="en-US" w:eastAsia="zh-CN"/>
        </w:rPr>
        <w:t>商务</w:t>
      </w:r>
      <w:r>
        <w:rPr>
          <w:rFonts w:hint="eastAsia" w:ascii="宋体" w:hAnsi="宋体" w:eastAsia="宋体" w:cs="宋体"/>
          <w:b/>
          <w:bCs/>
          <w:color w:val="auto"/>
          <w:kern w:val="0"/>
          <w:sz w:val="24"/>
          <w:szCs w:val="24"/>
          <w:highlight w:val="none"/>
        </w:rPr>
        <w:t>部分的评审</w:t>
      </w:r>
    </w:p>
    <w:p>
      <w:pPr>
        <w:snapToGrid w:val="0"/>
        <w:spacing w:line="40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1、第</w:t>
      </w:r>
      <w:r>
        <w:rPr>
          <w:rFonts w:hint="eastAsia" w:ascii="宋体" w:hAnsi="宋体" w:eastAsia="宋体" w:cs="宋体"/>
          <w:b/>
          <w:bCs/>
          <w:color w:val="auto"/>
          <w:kern w:val="0"/>
          <w:sz w:val="24"/>
          <w:szCs w:val="24"/>
          <w:highlight w:val="none"/>
          <w:lang w:val="en-US" w:eastAsia="zh-CN"/>
        </w:rPr>
        <w:t>二</w:t>
      </w:r>
      <w:r>
        <w:rPr>
          <w:rFonts w:hint="eastAsia" w:ascii="宋体" w:hAnsi="宋体" w:eastAsia="宋体" w:cs="宋体"/>
          <w:b/>
          <w:bCs/>
          <w:color w:val="auto"/>
          <w:kern w:val="0"/>
          <w:sz w:val="24"/>
          <w:szCs w:val="24"/>
          <w:highlight w:val="none"/>
        </w:rPr>
        <w:t>篇 “项目技术</w:t>
      </w:r>
      <w:r>
        <w:rPr>
          <w:rFonts w:hint="eastAsia" w:ascii="宋体" w:hAnsi="宋体" w:eastAsia="宋体" w:cs="宋体"/>
          <w:b/>
          <w:bCs/>
          <w:color w:val="auto"/>
          <w:kern w:val="0"/>
          <w:sz w:val="24"/>
          <w:szCs w:val="24"/>
          <w:highlight w:val="none"/>
          <w:lang w:val="en-US" w:eastAsia="zh-CN"/>
        </w:rPr>
        <w:t>要</w:t>
      </w:r>
      <w:r>
        <w:rPr>
          <w:rFonts w:hint="eastAsia" w:ascii="宋体" w:hAnsi="宋体" w:eastAsia="宋体" w:cs="宋体"/>
          <w:b/>
          <w:bCs/>
          <w:color w:val="auto"/>
          <w:kern w:val="0"/>
          <w:sz w:val="24"/>
          <w:szCs w:val="24"/>
          <w:highlight w:val="none"/>
        </w:rPr>
        <w:t>求”有一条及以上不能满足</w:t>
      </w:r>
      <w:r>
        <w:rPr>
          <w:rFonts w:hint="eastAsia" w:ascii="宋体" w:hAnsi="宋体" w:cs="宋体"/>
          <w:b/>
          <w:bCs/>
          <w:color w:val="auto"/>
          <w:kern w:val="0"/>
          <w:sz w:val="24"/>
          <w:szCs w:val="24"/>
          <w:highlight w:val="none"/>
          <w:lang w:val="en-US" w:eastAsia="zh-CN"/>
        </w:rPr>
        <w:t>询价</w:t>
      </w:r>
      <w:r>
        <w:rPr>
          <w:rFonts w:hint="eastAsia" w:ascii="宋体" w:hAnsi="宋体" w:eastAsia="宋体" w:cs="宋体"/>
          <w:b/>
          <w:bCs/>
          <w:color w:val="auto"/>
          <w:kern w:val="0"/>
          <w:sz w:val="24"/>
          <w:szCs w:val="24"/>
          <w:highlight w:val="none"/>
        </w:rPr>
        <w:t>要求的</w:t>
      </w:r>
      <w:r>
        <w:rPr>
          <w:rFonts w:hint="eastAsia" w:ascii="宋体" w:hAnsi="宋体" w:eastAsia="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为无效响应；</w:t>
      </w:r>
    </w:p>
    <w:p>
      <w:pPr>
        <w:snapToGrid w:val="0"/>
        <w:spacing w:line="40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2、第</w:t>
      </w:r>
      <w:r>
        <w:rPr>
          <w:rFonts w:hint="eastAsia" w:ascii="宋体" w:hAnsi="宋体" w:eastAsia="宋体" w:cs="宋体"/>
          <w:b/>
          <w:bCs/>
          <w:color w:val="auto"/>
          <w:kern w:val="0"/>
          <w:sz w:val="24"/>
          <w:szCs w:val="24"/>
          <w:highlight w:val="none"/>
          <w:lang w:val="en-US" w:eastAsia="zh-CN"/>
        </w:rPr>
        <w:t>三</w:t>
      </w:r>
      <w:r>
        <w:rPr>
          <w:rFonts w:hint="eastAsia" w:ascii="宋体" w:hAnsi="宋体" w:eastAsia="宋体" w:cs="宋体"/>
          <w:b/>
          <w:bCs/>
          <w:color w:val="auto"/>
          <w:kern w:val="0"/>
          <w:sz w:val="24"/>
          <w:szCs w:val="24"/>
          <w:highlight w:val="none"/>
        </w:rPr>
        <w:t>篇 “项目</w:t>
      </w:r>
      <w:r>
        <w:rPr>
          <w:rFonts w:hint="eastAsia" w:ascii="宋体" w:hAnsi="宋体" w:eastAsia="宋体" w:cs="宋体"/>
          <w:b/>
          <w:bCs/>
          <w:color w:val="auto"/>
          <w:kern w:val="0"/>
          <w:sz w:val="24"/>
          <w:szCs w:val="24"/>
          <w:highlight w:val="none"/>
          <w:lang w:val="en-US" w:eastAsia="zh-CN"/>
        </w:rPr>
        <w:t>商务要</w:t>
      </w:r>
      <w:r>
        <w:rPr>
          <w:rFonts w:hint="eastAsia" w:ascii="宋体" w:hAnsi="宋体" w:eastAsia="宋体" w:cs="宋体"/>
          <w:b/>
          <w:bCs/>
          <w:color w:val="auto"/>
          <w:kern w:val="0"/>
          <w:sz w:val="24"/>
          <w:szCs w:val="24"/>
          <w:highlight w:val="none"/>
        </w:rPr>
        <w:t>求”有一条及以上不能满足</w:t>
      </w:r>
      <w:r>
        <w:rPr>
          <w:rFonts w:hint="eastAsia" w:ascii="宋体" w:hAnsi="宋体" w:cs="宋体"/>
          <w:b/>
          <w:bCs/>
          <w:color w:val="auto"/>
          <w:kern w:val="0"/>
          <w:sz w:val="24"/>
          <w:szCs w:val="24"/>
          <w:highlight w:val="none"/>
          <w:lang w:val="en-US" w:eastAsia="zh-CN"/>
        </w:rPr>
        <w:t>询价</w:t>
      </w:r>
      <w:r>
        <w:rPr>
          <w:rFonts w:hint="eastAsia" w:ascii="宋体" w:hAnsi="宋体" w:eastAsia="宋体" w:cs="宋体"/>
          <w:b/>
          <w:bCs/>
          <w:color w:val="auto"/>
          <w:kern w:val="0"/>
          <w:sz w:val="24"/>
          <w:szCs w:val="24"/>
          <w:highlight w:val="none"/>
        </w:rPr>
        <w:t>要求的</w:t>
      </w:r>
      <w:r>
        <w:rPr>
          <w:rFonts w:hint="eastAsia" w:ascii="宋体" w:hAnsi="宋体" w:eastAsia="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为无效响应。</w:t>
      </w:r>
    </w:p>
    <w:p>
      <w:pPr>
        <w:snapToGrid w:val="0"/>
        <w:spacing w:line="400" w:lineRule="exact"/>
        <w:ind w:firstLine="482" w:firstLineChars="20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、评标</w:t>
      </w:r>
      <w:r>
        <w:rPr>
          <w:rFonts w:hint="eastAsia" w:ascii="宋体" w:hAnsi="宋体" w:eastAsia="宋体" w:cs="宋体"/>
          <w:b/>
          <w:color w:val="auto"/>
          <w:sz w:val="24"/>
          <w:szCs w:val="24"/>
          <w:highlight w:val="none"/>
          <w:lang w:val="en-US" w:eastAsia="zh-CN"/>
        </w:rPr>
        <w:t>标准</w:t>
      </w:r>
    </w:p>
    <w:p>
      <w:pPr>
        <w:snapToGrid w:val="0"/>
        <w:spacing w:line="400" w:lineRule="exact"/>
        <w:ind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一</w:t>
      </w:r>
      <w:r>
        <w:rPr>
          <w:rFonts w:hint="eastAsia" w:ascii="宋体" w:hAnsi="宋体" w:eastAsia="宋体" w:cs="宋体"/>
          <w:b w:val="0"/>
          <w:bCs w:val="0"/>
          <w:color w:val="auto"/>
          <w:kern w:val="0"/>
          <w:sz w:val="24"/>
          <w:szCs w:val="24"/>
          <w:highlight w:val="none"/>
        </w:rPr>
        <w:t>）评标委员会构成：由代理公司自行组织邀请专家</w:t>
      </w:r>
      <w:r>
        <w:rPr>
          <w:rFonts w:hint="eastAsia" w:ascii="宋体" w:hAnsi="宋体" w:cs="宋体"/>
          <w:b w:val="0"/>
          <w:bCs w:val="0"/>
          <w:color w:val="auto"/>
          <w:kern w:val="0"/>
          <w:sz w:val="24"/>
          <w:szCs w:val="24"/>
          <w:highlight w:val="none"/>
          <w:lang w:eastAsia="zh-CN"/>
        </w:rPr>
        <w:t>三</w:t>
      </w:r>
      <w:r>
        <w:rPr>
          <w:rFonts w:hint="eastAsia" w:ascii="宋体" w:hAnsi="宋体" w:eastAsia="宋体" w:cs="宋体"/>
          <w:b w:val="0"/>
          <w:bCs w:val="0"/>
          <w:color w:val="auto"/>
          <w:kern w:val="0"/>
          <w:sz w:val="24"/>
          <w:szCs w:val="24"/>
          <w:highlight w:val="none"/>
        </w:rPr>
        <w:t>名。</w:t>
      </w:r>
    </w:p>
    <w:p>
      <w:pPr>
        <w:snapToGrid w:val="0"/>
        <w:spacing w:line="400" w:lineRule="exact"/>
        <w:ind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二</w:t>
      </w:r>
      <w:r>
        <w:rPr>
          <w:rFonts w:hint="eastAsia" w:ascii="宋体" w:hAnsi="宋体" w:eastAsia="宋体" w:cs="宋体"/>
          <w:b w:val="0"/>
          <w:bCs w:val="0"/>
          <w:color w:val="auto"/>
          <w:kern w:val="0"/>
          <w:sz w:val="24"/>
          <w:szCs w:val="24"/>
          <w:highlight w:val="none"/>
        </w:rPr>
        <w:t>）</w:t>
      </w:r>
      <w:r>
        <w:rPr>
          <w:rFonts w:hint="eastAsia" w:ascii="宋体" w:hAnsi="宋体" w:eastAsia="宋体" w:cs="宋体"/>
          <w:color w:val="auto"/>
          <w:kern w:val="0"/>
          <w:sz w:val="24"/>
          <w:szCs w:val="24"/>
          <w:highlight w:val="none"/>
        </w:rPr>
        <w:t>评标委员会</w:t>
      </w:r>
      <w:r>
        <w:rPr>
          <w:rFonts w:hint="eastAsia" w:ascii="宋体" w:hAnsi="宋体" w:eastAsia="宋体" w:cs="宋体"/>
          <w:b w:val="0"/>
          <w:bCs w:val="0"/>
          <w:color w:val="auto"/>
          <w:kern w:val="0"/>
          <w:sz w:val="24"/>
          <w:szCs w:val="24"/>
          <w:highlight w:val="none"/>
        </w:rPr>
        <w:t>将依照本</w:t>
      </w:r>
      <w:r>
        <w:rPr>
          <w:rFonts w:hint="eastAsia" w:ascii="宋体" w:hAnsi="宋体" w:cs="宋体"/>
          <w:b w:val="0"/>
          <w:bCs w:val="0"/>
          <w:color w:val="auto"/>
          <w:kern w:val="0"/>
          <w:sz w:val="24"/>
          <w:szCs w:val="24"/>
          <w:highlight w:val="none"/>
          <w:lang w:eastAsia="zh-CN"/>
        </w:rPr>
        <w:t>询价文件</w:t>
      </w:r>
      <w:r>
        <w:rPr>
          <w:rFonts w:hint="eastAsia" w:ascii="宋体" w:hAnsi="宋体" w:eastAsia="宋体" w:cs="宋体"/>
          <w:b w:val="0"/>
          <w:bCs w:val="0"/>
          <w:color w:val="auto"/>
          <w:kern w:val="0"/>
          <w:sz w:val="24"/>
          <w:szCs w:val="24"/>
          <w:highlight w:val="none"/>
        </w:rPr>
        <w:t>相关规定对质量和服务均能满足</w:t>
      </w:r>
      <w:r>
        <w:rPr>
          <w:rFonts w:hint="eastAsia" w:ascii="宋体" w:hAnsi="宋体" w:cs="宋体"/>
          <w:b w:val="0"/>
          <w:bCs w:val="0"/>
          <w:color w:val="auto"/>
          <w:kern w:val="0"/>
          <w:sz w:val="24"/>
          <w:szCs w:val="24"/>
          <w:highlight w:val="none"/>
          <w:lang w:val="en-US" w:eastAsia="zh-CN"/>
        </w:rPr>
        <w:t>文件</w:t>
      </w:r>
      <w:r>
        <w:rPr>
          <w:rFonts w:hint="eastAsia" w:ascii="宋体" w:hAnsi="宋体" w:eastAsia="宋体" w:cs="宋体"/>
          <w:b w:val="0"/>
          <w:bCs w:val="0"/>
          <w:color w:val="auto"/>
          <w:kern w:val="0"/>
          <w:sz w:val="24"/>
          <w:szCs w:val="24"/>
          <w:highlight w:val="none"/>
        </w:rPr>
        <w:t>实质性响应要求的</w:t>
      </w:r>
      <w:r>
        <w:rPr>
          <w:rFonts w:hint="eastAsia" w:ascii="宋体" w:hAnsi="宋体" w:cs="宋体"/>
          <w:b w:val="0"/>
          <w:bCs w:val="0"/>
          <w:color w:val="auto"/>
          <w:kern w:val="0"/>
          <w:sz w:val="24"/>
          <w:szCs w:val="24"/>
          <w:highlight w:val="none"/>
          <w:lang w:val="en-US" w:eastAsia="zh-CN"/>
        </w:rPr>
        <w:t>投标人</w:t>
      </w:r>
      <w:r>
        <w:rPr>
          <w:rFonts w:hint="eastAsia" w:ascii="宋体" w:hAnsi="宋体" w:eastAsia="宋体" w:cs="宋体"/>
          <w:b w:val="0"/>
          <w:bCs w:val="0"/>
          <w:color w:val="auto"/>
          <w:kern w:val="0"/>
          <w:sz w:val="24"/>
          <w:szCs w:val="24"/>
          <w:highlight w:val="none"/>
        </w:rPr>
        <w:t>的报价按照由低到高的顺序提出成交候选人，并编写评审报告。</w:t>
      </w:r>
    </w:p>
    <w:p>
      <w:pPr>
        <w:snapToGrid w:val="0"/>
        <w:spacing w:line="400" w:lineRule="exact"/>
        <w:ind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三</w:t>
      </w:r>
      <w:r>
        <w:rPr>
          <w:rFonts w:hint="eastAsia" w:ascii="宋体" w:hAnsi="宋体" w:eastAsia="宋体" w:cs="宋体"/>
          <w:b w:val="0"/>
          <w:bCs w:val="0"/>
          <w:color w:val="auto"/>
          <w:kern w:val="0"/>
          <w:sz w:val="24"/>
          <w:szCs w:val="24"/>
          <w:highlight w:val="none"/>
        </w:rPr>
        <w:t>）若</w:t>
      </w:r>
      <w:r>
        <w:rPr>
          <w:rFonts w:hint="eastAsia" w:ascii="宋体" w:hAnsi="宋体" w:cs="宋体"/>
          <w:b w:val="0"/>
          <w:bCs w:val="0"/>
          <w:color w:val="auto"/>
          <w:kern w:val="0"/>
          <w:sz w:val="24"/>
          <w:szCs w:val="24"/>
          <w:highlight w:val="none"/>
          <w:lang w:val="en-US" w:eastAsia="zh-CN"/>
        </w:rPr>
        <w:t>投标人</w:t>
      </w:r>
      <w:r>
        <w:rPr>
          <w:rFonts w:hint="eastAsia" w:ascii="宋体" w:hAnsi="宋体" w:eastAsia="宋体" w:cs="宋体"/>
          <w:b w:val="0"/>
          <w:bCs w:val="0"/>
          <w:color w:val="auto"/>
          <w:kern w:val="0"/>
          <w:sz w:val="24"/>
          <w:szCs w:val="24"/>
          <w:highlight w:val="none"/>
        </w:rPr>
        <w:t>的</w:t>
      </w:r>
      <w:r>
        <w:rPr>
          <w:rFonts w:hint="eastAsia" w:ascii="宋体" w:hAnsi="宋体" w:eastAsia="宋体" w:cs="宋体"/>
          <w:b w:val="0"/>
          <w:bCs w:val="0"/>
          <w:color w:val="auto"/>
          <w:kern w:val="0"/>
          <w:sz w:val="24"/>
          <w:szCs w:val="24"/>
          <w:highlight w:val="none"/>
          <w:lang w:val="en-US" w:eastAsia="zh-CN"/>
        </w:rPr>
        <w:t>总</w:t>
      </w:r>
      <w:r>
        <w:rPr>
          <w:rFonts w:hint="eastAsia" w:ascii="宋体" w:hAnsi="宋体" w:eastAsia="宋体" w:cs="宋体"/>
          <w:b w:val="0"/>
          <w:bCs w:val="0"/>
          <w:color w:val="auto"/>
          <w:kern w:val="0"/>
          <w:sz w:val="24"/>
          <w:szCs w:val="24"/>
          <w:highlight w:val="none"/>
        </w:rPr>
        <w:t>报价价格相同，按</w:t>
      </w:r>
      <w:r>
        <w:rPr>
          <w:rFonts w:hint="eastAsia" w:ascii="宋体" w:hAnsi="宋体" w:eastAsia="宋体" w:cs="宋体"/>
          <w:b w:val="0"/>
          <w:bCs w:val="0"/>
          <w:color w:val="auto"/>
          <w:kern w:val="0"/>
          <w:sz w:val="24"/>
          <w:szCs w:val="24"/>
          <w:highlight w:val="none"/>
          <w:lang w:val="en-US" w:eastAsia="zh-CN"/>
        </w:rPr>
        <w:t>综合单价多项报价为低价的</w:t>
      </w:r>
      <w:r>
        <w:rPr>
          <w:rFonts w:hint="eastAsia" w:ascii="宋体" w:hAnsi="宋体" w:eastAsia="宋体" w:cs="宋体"/>
          <w:b w:val="0"/>
          <w:bCs w:val="0"/>
          <w:color w:val="auto"/>
          <w:kern w:val="0"/>
          <w:sz w:val="24"/>
          <w:szCs w:val="24"/>
          <w:highlight w:val="none"/>
        </w:rPr>
        <w:t>顺序排列；以上都相同的，</w:t>
      </w:r>
      <w:r>
        <w:rPr>
          <w:rFonts w:hint="eastAsia" w:ascii="宋体" w:hAnsi="宋体" w:eastAsia="宋体" w:cs="宋体"/>
          <w:b w:val="0"/>
          <w:bCs w:val="0"/>
          <w:color w:val="auto"/>
          <w:kern w:val="0"/>
          <w:sz w:val="24"/>
          <w:szCs w:val="24"/>
          <w:highlight w:val="none"/>
          <w:lang w:val="en-US" w:eastAsia="zh-CN"/>
        </w:rPr>
        <w:t>按随机抽取的方式进行抽取</w:t>
      </w:r>
      <w:r>
        <w:rPr>
          <w:rFonts w:hint="eastAsia" w:ascii="宋体" w:hAnsi="宋体" w:eastAsia="宋体" w:cs="宋体"/>
          <w:b w:val="0"/>
          <w:bCs w:val="0"/>
          <w:color w:val="auto"/>
          <w:kern w:val="0"/>
          <w:sz w:val="24"/>
          <w:szCs w:val="24"/>
          <w:highlight w:val="none"/>
        </w:rPr>
        <w:t>排列。</w:t>
      </w:r>
    </w:p>
    <w:p>
      <w:pPr>
        <w:snapToGrid w:val="0"/>
        <w:spacing w:line="400" w:lineRule="exact"/>
        <w:ind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四</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暂定</w:t>
      </w:r>
      <w:r>
        <w:rPr>
          <w:rFonts w:hint="eastAsia" w:ascii="宋体" w:hAnsi="宋体" w:eastAsia="宋体" w:cs="宋体"/>
          <w:b w:val="0"/>
          <w:bCs w:val="0"/>
          <w:color w:val="auto"/>
          <w:kern w:val="0"/>
          <w:sz w:val="24"/>
          <w:szCs w:val="24"/>
          <w:highlight w:val="none"/>
        </w:rPr>
        <w:t>成交价格=成交</w:t>
      </w:r>
      <w:r>
        <w:rPr>
          <w:rFonts w:hint="eastAsia" w:ascii="宋体" w:hAnsi="宋体" w:cs="宋体"/>
          <w:b w:val="0"/>
          <w:bCs w:val="0"/>
          <w:color w:val="auto"/>
          <w:kern w:val="0"/>
          <w:sz w:val="24"/>
          <w:szCs w:val="24"/>
          <w:highlight w:val="none"/>
          <w:lang w:val="en-US" w:eastAsia="zh-CN"/>
        </w:rPr>
        <w:t>投标人</w:t>
      </w:r>
      <w:r>
        <w:rPr>
          <w:rFonts w:hint="eastAsia" w:ascii="宋体" w:hAnsi="宋体" w:eastAsia="宋体" w:cs="宋体"/>
          <w:b w:val="0"/>
          <w:bCs w:val="0"/>
          <w:color w:val="auto"/>
          <w:kern w:val="0"/>
          <w:sz w:val="24"/>
          <w:szCs w:val="24"/>
          <w:highlight w:val="none"/>
        </w:rPr>
        <w:t>的</w:t>
      </w:r>
      <w:r>
        <w:rPr>
          <w:rFonts w:hint="eastAsia" w:ascii="宋体" w:hAnsi="宋体" w:eastAsia="宋体" w:cs="宋体"/>
          <w:b w:val="0"/>
          <w:bCs w:val="0"/>
          <w:color w:val="auto"/>
          <w:kern w:val="0"/>
          <w:sz w:val="24"/>
          <w:szCs w:val="24"/>
          <w:highlight w:val="none"/>
          <w:lang w:val="en-US" w:eastAsia="zh-CN"/>
        </w:rPr>
        <w:t>暂定总</w:t>
      </w:r>
      <w:r>
        <w:rPr>
          <w:rFonts w:hint="eastAsia" w:ascii="宋体" w:hAnsi="宋体" w:eastAsia="宋体" w:cs="宋体"/>
          <w:b w:val="0"/>
          <w:bCs w:val="0"/>
          <w:color w:val="auto"/>
          <w:kern w:val="0"/>
          <w:sz w:val="24"/>
          <w:szCs w:val="24"/>
          <w:highlight w:val="none"/>
        </w:rPr>
        <w:t>报价</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五</w:t>
      </w:r>
      <w:r>
        <w:rPr>
          <w:rFonts w:hint="eastAsia" w:ascii="宋体" w:hAnsi="宋体" w:eastAsia="宋体" w:cs="宋体"/>
          <w:b w:val="0"/>
          <w:bCs w:val="0"/>
          <w:color w:val="auto"/>
          <w:kern w:val="0"/>
          <w:sz w:val="24"/>
          <w:szCs w:val="24"/>
          <w:highlight w:val="none"/>
        </w:rPr>
        <w:t>）</w:t>
      </w:r>
      <w:r>
        <w:rPr>
          <w:rFonts w:hint="eastAsia" w:ascii="宋体" w:hAnsi="宋体" w:eastAsia="宋体" w:cs="宋体"/>
          <w:color w:val="auto"/>
          <w:kern w:val="0"/>
          <w:sz w:val="24"/>
          <w:szCs w:val="24"/>
          <w:highlight w:val="none"/>
        </w:rPr>
        <w:t>评标委员会认为，排在前面的成交候选人的报价或者某些分项报价明显不合理或者低于成本，有可能影响商品质量和不能诚信履约的，将要求其在规定的期限内提供书面文件予以解释说明，并提交相关证明材料；否则，评标委员会可以取消该成交候选人成为成交供应商的资格，按顺序由排在后面的成交候选人递补，以此类推。</w:t>
      </w:r>
      <w:bookmarkEnd w:id="26"/>
    </w:p>
    <w:p>
      <w:pPr>
        <w:pStyle w:val="5"/>
        <w:spacing w:line="400" w:lineRule="exact"/>
        <w:ind w:firstLine="482" w:firstLineChars="200"/>
        <w:rPr>
          <w:rFonts w:hint="eastAsia" w:ascii="宋体" w:hAnsi="宋体" w:eastAsia="宋体" w:cs="宋体"/>
          <w:b/>
          <w:bCs/>
          <w:color w:val="auto"/>
          <w:sz w:val="24"/>
          <w:szCs w:val="24"/>
          <w:highlight w:val="none"/>
        </w:rPr>
      </w:pPr>
      <w:bookmarkStart w:id="37" w:name="_Toc19317"/>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、无效投标条款</w:t>
      </w:r>
      <w:bookmarkEnd w:id="37"/>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投标人或其投标文件出现下列情况之一者，应为无效投标：</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（一）未按照</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文件的规定提交投标保证金的；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（二）投标文件未按</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文件要求签署、盖章的；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（三）不具备</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文件中规定的资格要求的；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（四）报价</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lang w:val="en-US" w:eastAsia="zh-CN"/>
        </w:rPr>
        <w:t>于</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文件中规定的预算金额或者最</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rPr>
        <w:t>限价的；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（五）投标文件含有采购人不能接受的附加条件的；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（六）投标人串通投标的；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Style w:val="18"/>
          <w:rFonts w:hint="eastAsia" w:ascii="宋体" w:hAnsi="宋体" w:eastAsia="宋体" w:cs="宋体"/>
          <w:color w:val="auto"/>
          <w:sz w:val="24"/>
          <w:szCs w:val="24"/>
          <w:highlight w:val="none"/>
        </w:rPr>
        <w:t>投标人组成联合体投标的</w:t>
      </w:r>
      <w:r>
        <w:rPr>
          <w:rFonts w:hint="eastAsia" w:ascii="宋体" w:hAnsi="宋体" w:eastAsia="宋体" w:cs="宋体"/>
          <w:color w:val="auto"/>
          <w:sz w:val="24"/>
          <w:szCs w:val="24"/>
          <w:highlight w:val="none"/>
        </w:rPr>
        <w:t>；</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（八）法律、法规和</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文件规定的其他无效情形。</w:t>
      </w:r>
    </w:p>
    <w:p>
      <w:pPr>
        <w:pStyle w:val="5"/>
        <w:spacing w:line="400" w:lineRule="exact"/>
        <w:ind w:firstLine="482" w:firstLineChars="200"/>
        <w:rPr>
          <w:rFonts w:hint="eastAsia" w:ascii="宋体" w:hAnsi="宋体" w:eastAsia="宋体" w:cs="宋体"/>
          <w:b/>
          <w:bCs/>
          <w:color w:val="auto"/>
          <w:sz w:val="24"/>
          <w:szCs w:val="24"/>
          <w:highlight w:val="none"/>
        </w:rPr>
      </w:pPr>
      <w:bookmarkStart w:id="38" w:name="_Toc6261"/>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、废标条款</w:t>
      </w:r>
      <w:bookmarkEnd w:id="38"/>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评标委员会评审时出现以下情况之一的，应予废标：</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）投标人的报价均</w:t>
      </w:r>
      <w:r>
        <w:rPr>
          <w:rFonts w:hint="eastAsia" w:ascii="宋体" w:hAnsi="宋体" w:eastAsia="宋体" w:cs="宋体"/>
          <w:color w:val="auto"/>
          <w:sz w:val="24"/>
          <w:szCs w:val="24"/>
          <w:highlight w:val="none"/>
          <w:lang w:val="en-US" w:eastAsia="zh-CN"/>
        </w:rPr>
        <w:t>高于</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最</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rPr>
        <w:t>限价的；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）出现影响采购公正的违法、违规行为的；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）因重大变故，采购任务取消的。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）废标后，除采购任务取消情形外，应当重新组织采购。</w:t>
      </w:r>
    </w:p>
    <w:p>
      <w:pPr>
        <w:pStyle w:val="4"/>
        <w:tabs>
          <w:tab w:val="left" w:pos="1530"/>
        </w:tabs>
        <w:spacing w:beforeLines="0" w:afterLines="0" w:line="360" w:lineRule="auto"/>
        <w:jc w:val="center"/>
        <w:rPr>
          <w:rFonts w:hint="eastAsia" w:ascii="宋体" w:hAnsi="宋体" w:eastAsia="宋体" w:cs="宋体"/>
          <w:b/>
          <w:color w:val="auto"/>
          <w:sz w:val="36"/>
          <w:szCs w:val="36"/>
          <w:highlight w:val="none"/>
        </w:rPr>
      </w:pPr>
      <w:r>
        <w:rPr>
          <w:rFonts w:hint="eastAsia" w:ascii="宋体" w:hAnsi="宋体" w:eastAsia="宋体" w:cs="宋体"/>
          <w:color w:val="auto"/>
          <w:sz w:val="24"/>
          <w:szCs w:val="24"/>
          <w:highlight w:val="none"/>
        </w:rPr>
        <w:br w:type="page"/>
      </w:r>
      <w:bookmarkStart w:id="39" w:name="_Toc24207"/>
      <w:r>
        <w:rPr>
          <w:rFonts w:hint="eastAsia" w:ascii="宋体" w:hAnsi="宋体" w:eastAsia="宋体" w:cs="宋体"/>
          <w:b/>
          <w:color w:val="auto"/>
          <w:sz w:val="36"/>
          <w:szCs w:val="36"/>
          <w:highlight w:val="none"/>
        </w:rPr>
        <w:t>第五篇  投标人须知</w:t>
      </w:r>
      <w:bookmarkEnd w:id="39"/>
    </w:p>
    <w:p>
      <w:pPr>
        <w:pStyle w:val="5"/>
        <w:spacing w:line="400" w:lineRule="exact"/>
        <w:ind w:firstLine="482" w:firstLineChars="200"/>
        <w:rPr>
          <w:rFonts w:hint="eastAsia" w:ascii="宋体" w:hAnsi="宋体" w:eastAsia="宋体" w:cs="宋体"/>
          <w:b/>
          <w:color w:val="auto"/>
          <w:sz w:val="24"/>
          <w:szCs w:val="24"/>
          <w:highlight w:val="none"/>
        </w:rPr>
      </w:pPr>
      <w:bookmarkStart w:id="40" w:name="_Toc439922664"/>
      <w:bookmarkStart w:id="41" w:name="_Toc2468"/>
      <w:r>
        <w:rPr>
          <w:rFonts w:hint="eastAsia" w:ascii="宋体" w:hAnsi="宋体" w:eastAsia="宋体" w:cs="宋体"/>
          <w:b/>
          <w:color w:val="auto"/>
          <w:sz w:val="24"/>
          <w:szCs w:val="24"/>
          <w:highlight w:val="none"/>
        </w:rPr>
        <w:t>一、投标人</w:t>
      </w:r>
      <w:bookmarkEnd w:id="40"/>
      <w:bookmarkEnd w:id="41"/>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1、合格投标人条件</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合格投标人应完全符合</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文件第一篇中规定的投标人资格条件，并对</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文件作出实质性响应。</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2、投标人的风险</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投标人没有按照</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文件要求提供全部资料，或者投标人没有对</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文件在各方面作出实质性响应，可能导致投标被拒绝或评定为无效投标。</w:t>
      </w:r>
    </w:p>
    <w:p>
      <w:pPr>
        <w:pStyle w:val="5"/>
        <w:spacing w:line="400" w:lineRule="exact"/>
        <w:ind w:firstLine="482" w:firstLineChars="200"/>
        <w:rPr>
          <w:rFonts w:hint="eastAsia" w:ascii="宋体" w:hAnsi="宋体" w:eastAsia="宋体" w:cs="宋体"/>
          <w:b/>
          <w:color w:val="auto"/>
          <w:sz w:val="24"/>
          <w:szCs w:val="24"/>
          <w:highlight w:val="none"/>
        </w:rPr>
      </w:pPr>
      <w:bookmarkStart w:id="42" w:name="_Toc16937"/>
      <w:bookmarkStart w:id="43" w:name="_Toc439922665"/>
      <w:r>
        <w:rPr>
          <w:rFonts w:hint="eastAsia" w:ascii="宋体" w:hAnsi="宋体" w:eastAsia="宋体" w:cs="宋体"/>
          <w:b/>
          <w:color w:val="auto"/>
          <w:sz w:val="24"/>
          <w:szCs w:val="24"/>
          <w:highlight w:val="none"/>
        </w:rPr>
        <w:t>二、</w:t>
      </w:r>
      <w:r>
        <w:rPr>
          <w:rFonts w:hint="eastAsia" w:cs="宋体"/>
          <w:b/>
          <w:color w:val="auto"/>
          <w:sz w:val="24"/>
          <w:szCs w:val="24"/>
          <w:highlight w:val="none"/>
          <w:lang w:eastAsia="zh-CN"/>
        </w:rPr>
        <w:t>询价</w:t>
      </w:r>
      <w:r>
        <w:rPr>
          <w:rFonts w:hint="eastAsia" w:ascii="宋体" w:hAnsi="宋体" w:eastAsia="宋体" w:cs="宋体"/>
          <w:b/>
          <w:color w:val="auto"/>
          <w:sz w:val="24"/>
          <w:szCs w:val="24"/>
          <w:highlight w:val="none"/>
        </w:rPr>
        <w:t>文件</w:t>
      </w:r>
      <w:bookmarkEnd w:id="42"/>
      <w:bookmarkEnd w:id="43"/>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文件是投标人编制投标文件的依据，是评标委员会评判依据和标准。</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文件也是采购人与中标人签订合同的基础。</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文件由投标邀请书；项目技术</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；商务条款；投标人须知；评标方法、评标标准、无效投标条款和废标条款；合同主要条款、合同范本；投标文件格式等七部分组成。</w:t>
      </w:r>
    </w:p>
    <w:p>
      <w:pPr>
        <w:snapToGrid w:val="0"/>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2、采购机构对</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文件所作的一切有效的书面通知、修改及补充，都是</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文件不可分割的部分。</w:t>
      </w:r>
    </w:p>
    <w:p>
      <w:pPr>
        <w:snapToGrid w:val="0"/>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项目所有补遗文件（如果有）一律在</w:t>
      </w:r>
      <w:r>
        <w:rPr>
          <w:rFonts w:hint="eastAsia" w:ascii="宋体" w:hAnsi="宋体" w:eastAsia="宋体" w:cs="宋体"/>
          <w:color w:val="auto"/>
          <w:sz w:val="24"/>
          <w:szCs w:val="24"/>
          <w:highlight w:val="none"/>
          <w:lang w:val="en-US" w:eastAsia="zh-CN"/>
        </w:rPr>
        <w:t>秀山县人民医院官</w:t>
      </w:r>
      <w:r>
        <w:rPr>
          <w:rFonts w:hint="eastAsia" w:ascii="宋体" w:hAnsi="宋体" w:eastAsia="宋体" w:cs="宋体"/>
          <w:color w:val="auto"/>
          <w:sz w:val="24"/>
          <w:szCs w:val="24"/>
          <w:highlight w:val="none"/>
        </w:rPr>
        <w:t>网</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发布，请各投标人注意</w:t>
      </w:r>
      <w:r>
        <w:rPr>
          <w:rFonts w:hint="eastAsia" w:ascii="宋体" w:hAnsi="宋体" w:cs="宋体"/>
          <w:color w:val="auto"/>
          <w:sz w:val="24"/>
          <w:szCs w:val="24"/>
          <w:highlight w:val="none"/>
          <w:lang w:eastAsia="zh-CN"/>
        </w:rPr>
        <w:t>下载</w:t>
      </w:r>
      <w:r>
        <w:rPr>
          <w:rFonts w:hint="eastAsia" w:ascii="宋体" w:hAnsi="宋体" w:eastAsia="宋体" w:cs="宋体"/>
          <w:color w:val="auto"/>
          <w:sz w:val="24"/>
          <w:szCs w:val="24"/>
          <w:highlight w:val="none"/>
        </w:rPr>
        <w:t>；无论投标人下载与否，均视同投标人已知晓本项目</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文件、补遗文件的内容。</w:t>
      </w:r>
    </w:p>
    <w:p>
      <w:pPr>
        <w:snapToGrid w:val="0"/>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4、采购机构对已发出的</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文件需要进行澄清或修改的，将在</w:t>
      </w:r>
      <w:r>
        <w:rPr>
          <w:rFonts w:hint="eastAsia" w:ascii="宋体" w:hAnsi="宋体" w:eastAsia="宋体" w:cs="宋体"/>
          <w:color w:val="auto"/>
          <w:sz w:val="24"/>
          <w:szCs w:val="24"/>
          <w:highlight w:val="none"/>
          <w:lang w:val="en-US" w:eastAsia="zh-CN"/>
        </w:rPr>
        <w:t>秀山县人民医院官</w:t>
      </w:r>
      <w:r>
        <w:rPr>
          <w:rFonts w:hint="eastAsia" w:ascii="宋体" w:hAnsi="宋体" w:eastAsia="宋体" w:cs="宋体"/>
          <w:color w:val="auto"/>
          <w:sz w:val="24"/>
          <w:szCs w:val="24"/>
          <w:highlight w:val="none"/>
        </w:rPr>
        <w:t>网上发布。该澄清或者修改的内容为</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文件的组成部分。</w:t>
      </w:r>
    </w:p>
    <w:p>
      <w:pPr>
        <w:pStyle w:val="5"/>
        <w:spacing w:line="400" w:lineRule="exact"/>
        <w:ind w:firstLine="482" w:firstLineChars="200"/>
        <w:rPr>
          <w:rFonts w:hint="eastAsia" w:ascii="宋体" w:hAnsi="宋体" w:eastAsia="宋体" w:cs="宋体"/>
          <w:b/>
          <w:color w:val="auto"/>
          <w:sz w:val="24"/>
          <w:szCs w:val="24"/>
          <w:highlight w:val="none"/>
        </w:rPr>
      </w:pPr>
      <w:bookmarkStart w:id="44" w:name="_Toc439922666"/>
      <w:bookmarkStart w:id="45" w:name="_Toc5499"/>
      <w:r>
        <w:rPr>
          <w:rFonts w:hint="eastAsia" w:ascii="宋体" w:hAnsi="宋体" w:eastAsia="宋体" w:cs="宋体"/>
          <w:b/>
          <w:color w:val="auto"/>
          <w:sz w:val="24"/>
          <w:szCs w:val="24"/>
          <w:highlight w:val="none"/>
        </w:rPr>
        <w:t>三、投标文件</w:t>
      </w:r>
      <w:bookmarkEnd w:id="44"/>
      <w:bookmarkEnd w:id="45"/>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投标人应当按照</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文件的要求编制投标文件，并对</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文件提出的要求和条件作出实质性响应，并装订成册。</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（一）投标文件组成</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投标文件由以下部分和投标人所作的一切有效补充、修改和承诺等文件组成。</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（二）联合投标</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1、此项目不支持联合体投标。</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（三）投标有效期</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投标有效期为投标截止日期后</w:t>
      </w:r>
      <w:r>
        <w:rPr>
          <w:rFonts w:hint="eastAsia" w:ascii="宋体" w:hAnsi="宋体" w:eastAsia="宋体" w:cs="宋体"/>
          <w:color w:val="auto"/>
          <w:sz w:val="24"/>
          <w:szCs w:val="24"/>
          <w:highlight w:val="none"/>
          <w:lang w:val="en-US" w:eastAsia="zh-CN"/>
        </w:rPr>
        <w:t>90日历天</w:t>
      </w:r>
      <w:r>
        <w:rPr>
          <w:rFonts w:hint="eastAsia" w:ascii="宋体" w:hAnsi="宋体" w:eastAsia="宋体" w:cs="宋体"/>
          <w:color w:val="auto"/>
          <w:sz w:val="24"/>
          <w:szCs w:val="24"/>
          <w:highlight w:val="none"/>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（四）投标保证金</w:t>
      </w:r>
    </w:p>
    <w:p>
      <w:pPr>
        <w:tabs>
          <w:tab w:val="left" w:pos="0"/>
        </w:tabs>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1、投标人应在投标截止时间前，按</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文件第一篇规定向</w:t>
      </w:r>
      <w:r>
        <w:rPr>
          <w:rFonts w:hint="eastAsia" w:ascii="宋体" w:hAnsi="宋体" w:eastAsia="宋体" w:cs="宋体"/>
          <w:color w:val="auto"/>
          <w:sz w:val="24"/>
          <w:szCs w:val="24"/>
          <w:highlight w:val="none"/>
          <w:lang w:val="en-US" w:eastAsia="zh-CN"/>
        </w:rPr>
        <w:t>代理</w:t>
      </w:r>
      <w:r>
        <w:rPr>
          <w:rFonts w:hint="eastAsia" w:ascii="宋体" w:hAnsi="宋体" w:eastAsia="宋体" w:cs="宋体"/>
          <w:color w:val="auto"/>
          <w:sz w:val="24"/>
          <w:szCs w:val="24"/>
          <w:highlight w:val="none"/>
        </w:rPr>
        <w:t>机构缴纳投标保证金。</w:t>
      </w:r>
    </w:p>
    <w:p>
      <w:pPr>
        <w:tabs>
          <w:tab w:val="left" w:pos="0"/>
        </w:tabs>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2、投标保证金为投标的有效约束条件。</w:t>
      </w:r>
    </w:p>
    <w:p>
      <w:pPr>
        <w:tabs>
          <w:tab w:val="left" w:pos="0"/>
        </w:tabs>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3、投标保证金的有效期限在投标有效期过后三十天内继续有效。</w:t>
      </w:r>
    </w:p>
    <w:p>
      <w:pPr>
        <w:tabs>
          <w:tab w:val="left" w:pos="0"/>
        </w:tabs>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4、投标保证金币种应与投标报价币种相同。</w:t>
      </w:r>
    </w:p>
    <w:p>
      <w:pPr>
        <w:tabs>
          <w:tab w:val="left" w:pos="0"/>
        </w:tabs>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有下列情形之一的，投标保证金将不予退还，由采购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上缴国库：</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（1）投标人在投标有效期内撤回投标文件的；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）投标人在投标过程中弄虚作假，提供虚假材料的；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）中标人无正当理由不与采购人签订合同的；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）中标人将中标项目转让给他人或者在投标文件中未说明且未经采购人同意，将中标项目分包给他人的；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）中标人拒绝履行合同义务的；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）投标人缴纳投标保证金后无故不参加投标的；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）其他严重扰乱招投标程序的。</w:t>
      </w:r>
    </w:p>
    <w:p>
      <w:pPr>
        <w:snapToGrid w:val="0"/>
        <w:spacing w:line="400" w:lineRule="exact"/>
        <w:ind w:firstLine="470" w:firstLineChars="196"/>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（五）投标文件的份数和签署</w:t>
      </w:r>
    </w:p>
    <w:p>
      <w:pPr>
        <w:snapToGrid w:val="0"/>
        <w:spacing w:line="400" w:lineRule="exact"/>
        <w:ind w:firstLine="470" w:firstLineChars="196"/>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1、投标文件一式三份，其中正本一份，副本二份。</w:t>
      </w:r>
      <w:r>
        <w:rPr>
          <w:rFonts w:hint="eastAsia" w:ascii="宋体" w:hAnsi="宋体" w:eastAsia="宋体" w:cs="宋体"/>
          <w:color w:val="auto"/>
          <w:sz w:val="24"/>
          <w:szCs w:val="24"/>
          <w:highlight w:val="none"/>
        </w:rPr>
        <w:t>每套纸质投标文件须在封面</w:t>
      </w:r>
      <w:r>
        <w:rPr>
          <w:rFonts w:hint="eastAsia" w:ascii="宋体" w:hAnsi="宋体" w:eastAsia="宋体" w:cs="宋体"/>
          <w:color w:val="auto"/>
          <w:sz w:val="24"/>
          <w:szCs w:val="24"/>
          <w:highlight w:val="none"/>
          <w:lang w:val="en-US" w:eastAsia="zh-CN"/>
        </w:rPr>
        <w:t>左上角</w:t>
      </w:r>
      <w:r>
        <w:rPr>
          <w:rFonts w:hint="eastAsia" w:ascii="宋体" w:hAnsi="宋体" w:eastAsia="宋体" w:cs="宋体"/>
          <w:color w:val="auto"/>
          <w:sz w:val="24"/>
          <w:szCs w:val="24"/>
          <w:highlight w:val="none"/>
        </w:rPr>
        <w:t>清楚地标明“正本”或“副本”，副本应为正本的完整复印件，副本与正本不一致时以正本为准。</w:t>
      </w:r>
    </w:p>
    <w:p>
      <w:pPr>
        <w:snapToGrid w:val="0"/>
        <w:spacing w:line="400" w:lineRule="exact"/>
        <w:ind w:firstLine="470" w:firstLineChars="196"/>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在投标文件正本中，</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文件第七篇投标文件格式中规定签字、盖章的地方必须按其规定签字、盖章。</w:t>
      </w:r>
    </w:p>
    <w:p>
      <w:pPr>
        <w:snapToGrid w:val="0"/>
        <w:spacing w:line="400" w:lineRule="exact"/>
        <w:ind w:firstLine="470" w:firstLineChars="196"/>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3、若投标人对投标文件的错处作必要修改，则应在修改处加盖投标人公章或由法人或法人授权代表签字确认。</w:t>
      </w:r>
    </w:p>
    <w:p>
      <w:pPr>
        <w:snapToGrid w:val="0"/>
        <w:spacing w:line="400" w:lineRule="exact"/>
        <w:ind w:firstLine="470" w:firstLineChars="196"/>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4、电报、电话、传真、邮寄形式的投标文件概不接受。</w:t>
      </w:r>
    </w:p>
    <w:p>
      <w:pPr>
        <w:pStyle w:val="8"/>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（六）</w:t>
      </w:r>
      <w:r>
        <w:rPr>
          <w:rFonts w:hint="eastAsia" w:ascii="宋体" w:hAnsi="宋体" w:eastAsia="宋体" w:cs="宋体"/>
          <w:color w:val="auto"/>
          <w:sz w:val="24"/>
          <w:szCs w:val="24"/>
          <w:highlight w:val="none"/>
        </w:rPr>
        <w:t>投标文件的递交</w:t>
      </w:r>
    </w:p>
    <w:p>
      <w:pPr>
        <w:pStyle w:val="8"/>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1、投标文件的密封与标记</w:t>
      </w:r>
    </w:p>
    <w:p>
      <w:pPr>
        <w:pStyle w:val="8"/>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投标文件的正本、副本均应密封送达投标地点，应在封套上注明项目名称、投标人名称。若正本、副本分别进行密封的，还应在封套上注明“正本”“副本”字样。信封上须加盖投标人公章或授权代表签字。</w:t>
      </w:r>
    </w:p>
    <w:p>
      <w:pPr>
        <w:pStyle w:val="8"/>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2、如果未按上述规定进行密封和标记，采购机构对投标文件误投、丢失或提前拆封不负责任。</w:t>
      </w:r>
    </w:p>
    <w:p>
      <w:pPr>
        <w:pStyle w:val="5"/>
        <w:spacing w:line="400" w:lineRule="exact"/>
        <w:ind w:firstLine="482" w:firstLineChars="200"/>
        <w:rPr>
          <w:rFonts w:hint="eastAsia" w:ascii="宋体" w:hAnsi="宋体" w:eastAsia="宋体" w:cs="宋体"/>
          <w:b/>
          <w:color w:val="auto"/>
          <w:sz w:val="24"/>
          <w:szCs w:val="24"/>
          <w:highlight w:val="none"/>
        </w:rPr>
      </w:pPr>
      <w:bookmarkStart w:id="46" w:name="_Toc26192"/>
      <w:bookmarkStart w:id="47" w:name="_Toc439922667"/>
      <w:r>
        <w:rPr>
          <w:rFonts w:hint="eastAsia" w:ascii="宋体" w:hAnsi="宋体" w:eastAsia="宋体" w:cs="宋体"/>
          <w:b/>
          <w:color w:val="auto"/>
          <w:sz w:val="24"/>
          <w:szCs w:val="24"/>
          <w:highlight w:val="none"/>
        </w:rPr>
        <w:t>四、开标</w:t>
      </w:r>
      <w:bookmarkEnd w:id="46"/>
      <w:bookmarkEnd w:id="47"/>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（一）开标应当在</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文件中“投标邀请书”确定的时间和地点公开进行。</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可视采购具体情况，延长投标截止时间和开标时间，但至少在</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文件要求提交投标文件的截止时间三日前，将在</w:t>
      </w:r>
      <w:r>
        <w:rPr>
          <w:rFonts w:hint="eastAsia" w:ascii="宋体" w:hAnsi="宋体" w:eastAsia="宋体" w:cs="宋体"/>
          <w:color w:val="auto"/>
          <w:sz w:val="24"/>
          <w:szCs w:val="24"/>
          <w:highlight w:val="none"/>
          <w:lang w:val="en-US" w:eastAsia="zh-CN"/>
        </w:rPr>
        <w:t>秀山县人民医院官</w:t>
      </w:r>
      <w:r>
        <w:rPr>
          <w:rFonts w:hint="eastAsia" w:ascii="宋体" w:hAnsi="宋体" w:eastAsia="宋体" w:cs="宋体"/>
          <w:color w:val="auto"/>
          <w:sz w:val="24"/>
          <w:szCs w:val="24"/>
          <w:highlight w:val="none"/>
        </w:rPr>
        <w:t>网发布。</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（三）开标由</w:t>
      </w:r>
      <w:r>
        <w:rPr>
          <w:rFonts w:hint="eastAsia" w:ascii="宋体" w:hAnsi="宋体" w:eastAsia="宋体" w:cs="宋体"/>
          <w:color w:val="auto"/>
          <w:sz w:val="24"/>
          <w:szCs w:val="24"/>
          <w:highlight w:val="none"/>
          <w:lang w:val="en-US" w:eastAsia="zh-CN"/>
        </w:rPr>
        <w:t>代理机构</w:t>
      </w:r>
      <w:r>
        <w:rPr>
          <w:rFonts w:hint="eastAsia" w:ascii="宋体" w:hAnsi="宋体" w:eastAsia="宋体" w:cs="宋体"/>
          <w:color w:val="auto"/>
          <w:sz w:val="24"/>
          <w:szCs w:val="24"/>
          <w:highlight w:val="none"/>
        </w:rPr>
        <w:t>主持，邀请采购人、投标人、</w:t>
      </w:r>
      <w:r>
        <w:rPr>
          <w:rFonts w:hint="eastAsia" w:ascii="宋体" w:hAnsi="宋体" w:eastAsia="宋体" w:cs="宋体"/>
          <w:color w:val="auto"/>
          <w:sz w:val="24"/>
          <w:szCs w:val="24"/>
          <w:highlight w:val="none"/>
          <w:lang w:eastAsia="zh-CN"/>
        </w:rPr>
        <w:t>监督部门</w:t>
      </w:r>
      <w:r>
        <w:rPr>
          <w:rFonts w:hint="eastAsia" w:ascii="宋体" w:hAnsi="宋体" w:eastAsia="宋体" w:cs="宋体"/>
          <w:color w:val="auto"/>
          <w:sz w:val="24"/>
          <w:szCs w:val="24"/>
          <w:highlight w:val="none"/>
        </w:rPr>
        <w:t>和有关监督部门代表参加，</w:t>
      </w:r>
      <w:r>
        <w:rPr>
          <w:rFonts w:hint="eastAsia" w:ascii="宋体" w:hAnsi="宋体" w:eastAsia="宋体" w:cs="宋体"/>
          <w:color w:val="auto"/>
          <w:sz w:val="24"/>
          <w:szCs w:val="24"/>
          <w:highlight w:val="none"/>
          <w:lang w:eastAsia="zh-CN"/>
        </w:rPr>
        <w:t>监督部门</w:t>
      </w:r>
      <w:r>
        <w:rPr>
          <w:rFonts w:hint="eastAsia" w:ascii="宋体" w:hAnsi="宋体" w:eastAsia="宋体" w:cs="宋体"/>
          <w:color w:val="auto"/>
          <w:sz w:val="24"/>
          <w:szCs w:val="24"/>
          <w:highlight w:val="none"/>
        </w:rPr>
        <w:t>和有关监督部门可视情况派员现场监督。</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（四）开标时，由投标人或者其推选的代表检查投标文件的密封情况，也可以由采购人委托的公证机构人员检查投标文件密封情况并公证；经确认密封完好的投标文件，由</w:t>
      </w:r>
      <w:r>
        <w:rPr>
          <w:rFonts w:hint="eastAsia" w:ascii="宋体" w:hAnsi="宋体" w:eastAsia="宋体" w:cs="宋体"/>
          <w:color w:val="auto"/>
          <w:sz w:val="24"/>
          <w:szCs w:val="24"/>
          <w:highlight w:val="none"/>
          <w:lang w:val="en-US" w:eastAsia="zh-CN"/>
        </w:rPr>
        <w:t>代理</w:t>
      </w:r>
      <w:r>
        <w:rPr>
          <w:rFonts w:hint="eastAsia" w:ascii="宋体" w:hAnsi="宋体" w:eastAsia="宋体" w:cs="宋体"/>
          <w:color w:val="auto"/>
          <w:sz w:val="24"/>
          <w:szCs w:val="24"/>
          <w:highlight w:val="none"/>
        </w:rPr>
        <w:t>机构工作人员当众拆封，宣读投标文件正本“开标一览表”的投标人名称和投标报价，以及</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文件允许的备选投标人案和投标文件的其他主要内容并记录。</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（五）未宣读的投标价格、价格折扣和</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文件允许提供的备选投标人案等实质性内容等，评标时不予承认。</w:t>
      </w:r>
    </w:p>
    <w:p>
      <w:pPr>
        <w:pStyle w:val="8"/>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（六）开标过程应由采购代理机构指定专人负责记录，并存档备查。</w:t>
      </w:r>
    </w:p>
    <w:p>
      <w:pPr>
        <w:pStyle w:val="5"/>
        <w:spacing w:line="400" w:lineRule="exact"/>
        <w:ind w:firstLine="482" w:firstLineChars="200"/>
        <w:rPr>
          <w:rFonts w:hint="eastAsia" w:ascii="宋体" w:hAnsi="宋体" w:eastAsia="宋体" w:cs="宋体"/>
          <w:b/>
          <w:color w:val="auto"/>
          <w:sz w:val="24"/>
          <w:szCs w:val="24"/>
          <w:highlight w:val="none"/>
        </w:rPr>
      </w:pPr>
      <w:bookmarkStart w:id="48" w:name="_Toc439922668"/>
      <w:bookmarkStart w:id="49" w:name="_Toc3871"/>
      <w:r>
        <w:rPr>
          <w:rFonts w:hint="eastAsia" w:ascii="宋体" w:hAnsi="宋体" w:eastAsia="宋体" w:cs="宋体"/>
          <w:b/>
          <w:color w:val="auto"/>
          <w:sz w:val="24"/>
          <w:szCs w:val="24"/>
          <w:highlight w:val="none"/>
        </w:rPr>
        <w:t>五、评标</w:t>
      </w:r>
      <w:bookmarkEnd w:id="48"/>
      <w:bookmarkEnd w:id="49"/>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见第四篇“评标”内容。</w:t>
      </w:r>
    </w:p>
    <w:p>
      <w:pPr>
        <w:pStyle w:val="5"/>
        <w:spacing w:line="400" w:lineRule="exact"/>
        <w:ind w:firstLine="482" w:firstLineChars="200"/>
        <w:rPr>
          <w:rFonts w:hint="eastAsia" w:ascii="宋体" w:hAnsi="宋体" w:eastAsia="宋体" w:cs="宋体"/>
          <w:b/>
          <w:color w:val="auto"/>
          <w:sz w:val="24"/>
          <w:szCs w:val="24"/>
          <w:highlight w:val="none"/>
        </w:rPr>
      </w:pPr>
      <w:bookmarkStart w:id="50" w:name="_Toc439922669"/>
      <w:bookmarkStart w:id="51" w:name="_Toc4023"/>
      <w:r>
        <w:rPr>
          <w:rFonts w:hint="eastAsia" w:ascii="宋体" w:hAnsi="宋体" w:eastAsia="宋体" w:cs="宋体"/>
          <w:b/>
          <w:color w:val="auto"/>
          <w:sz w:val="24"/>
          <w:szCs w:val="24"/>
          <w:highlight w:val="none"/>
        </w:rPr>
        <w:t>六、定标</w:t>
      </w:r>
      <w:bookmarkEnd w:id="50"/>
      <w:bookmarkEnd w:id="51"/>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（一）定标原则</w:t>
      </w:r>
    </w:p>
    <w:p>
      <w:pPr>
        <w:spacing w:line="400" w:lineRule="exact"/>
        <w:ind w:firstLine="480" w:firstLineChars="200"/>
        <w:rPr>
          <w:rFonts w:hint="eastAsia" w:ascii="宋体" w:hAnsi="宋体" w:eastAsia="宋体" w:cs="宋体"/>
          <w:color w:val="auto"/>
          <w:sz w:val="24"/>
          <w:szCs w:val="24"/>
          <w:highlight w:val="none"/>
        </w:rPr>
      </w:pPr>
      <w:bookmarkStart w:id="52" w:name="_Toc439922670"/>
      <w:r>
        <w:rPr>
          <w:rFonts w:hint="eastAsia" w:ascii="宋体" w:hAnsi="宋体" w:eastAsia="宋体" w:cs="宋体"/>
          <w:color w:val="auto"/>
          <w:sz w:val="24"/>
          <w:szCs w:val="24"/>
          <w:highlight w:val="none"/>
        </w:rPr>
        <w:t>采购人或其授权的评标委员会应按照评标报告中推荐的中标候选人排名顺序确定中标人。</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（二）定标程序</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采购代理机构应当在评标结束后2个工作日内将评标报告送采购人。</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2.采购人应当自收到评标报告之日起5个工作日内按评标报告推荐的中标候选人顺序确定中标人。</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中标候选人并列的，由采购人或者采购人委托评标委员会按照服务部分的优劣顺序排列；服务部分优劣顺序相同的，按商务条款的优劣顺序排列确定中标人。</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3.采购人或者采购代理机构应当自中标人确定之日起2个工作日内，在</w:t>
      </w:r>
      <w:r>
        <w:rPr>
          <w:rFonts w:hint="eastAsia" w:ascii="宋体" w:hAnsi="宋体" w:eastAsia="宋体" w:cs="宋体"/>
          <w:color w:val="auto"/>
          <w:sz w:val="24"/>
          <w:szCs w:val="24"/>
          <w:highlight w:val="none"/>
          <w:lang w:val="en-US" w:eastAsia="zh-CN"/>
        </w:rPr>
        <w:t>秀山县人民医院官</w:t>
      </w:r>
      <w:r>
        <w:rPr>
          <w:rFonts w:hint="eastAsia" w:ascii="宋体" w:hAnsi="宋体" w:eastAsia="宋体" w:cs="宋体"/>
          <w:color w:val="auto"/>
          <w:sz w:val="24"/>
          <w:szCs w:val="24"/>
          <w:highlight w:val="none"/>
        </w:rPr>
        <w:t>网上公告中标结果。中标公告期限为1个工作日。</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4.中标人变更</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中标人拒绝与采购人签订合同的，采购人可以按照评标报告推荐的中标候选人顺序，确定排名下一位的候选人为中标人，也可以重新开展采购活动。</w:t>
      </w:r>
    </w:p>
    <w:p>
      <w:pPr>
        <w:pStyle w:val="5"/>
        <w:spacing w:line="380" w:lineRule="exact"/>
        <w:ind w:firstLine="482" w:firstLineChars="200"/>
        <w:rPr>
          <w:rFonts w:hint="eastAsia" w:ascii="宋体" w:hAnsi="宋体" w:eastAsia="宋体" w:cs="宋体"/>
          <w:b/>
          <w:color w:val="auto"/>
          <w:sz w:val="24"/>
          <w:szCs w:val="24"/>
          <w:highlight w:val="none"/>
        </w:rPr>
      </w:pPr>
      <w:bookmarkStart w:id="53" w:name="_Toc30227"/>
      <w:r>
        <w:rPr>
          <w:rFonts w:hint="eastAsia" w:ascii="宋体" w:hAnsi="宋体" w:eastAsia="宋体" w:cs="宋体"/>
          <w:b/>
          <w:color w:val="auto"/>
          <w:sz w:val="24"/>
          <w:szCs w:val="24"/>
          <w:highlight w:val="none"/>
        </w:rPr>
        <w:t>七、中标通知书</w:t>
      </w:r>
      <w:bookmarkEnd w:id="52"/>
      <w:bookmarkEnd w:id="53"/>
    </w:p>
    <w:p>
      <w:pPr>
        <w:snapToGrid w:val="0"/>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1、采购人依法确定中标人后，采购机构以书面形式发出中标通知书。</w:t>
      </w:r>
    </w:p>
    <w:p>
      <w:pPr>
        <w:snapToGrid w:val="0"/>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2、中标通知书发出后，采购人改变中标结果，或者中标人放弃中标，应当承担相应的法律责任。</w:t>
      </w:r>
    </w:p>
    <w:p>
      <w:pPr>
        <w:pStyle w:val="5"/>
        <w:spacing w:line="400" w:lineRule="exact"/>
        <w:ind w:firstLine="482" w:firstLineChars="200"/>
        <w:rPr>
          <w:rFonts w:hint="eastAsia" w:ascii="宋体" w:hAnsi="宋体" w:eastAsia="宋体" w:cs="宋体"/>
          <w:b/>
          <w:color w:val="auto"/>
          <w:sz w:val="24"/>
          <w:highlight w:val="none"/>
        </w:rPr>
      </w:pPr>
      <w:bookmarkStart w:id="54" w:name="_Toc26888433"/>
      <w:bookmarkStart w:id="55" w:name="_Toc16136"/>
      <w:r>
        <w:rPr>
          <w:rFonts w:hint="eastAsia" w:ascii="宋体" w:hAnsi="宋体" w:eastAsia="宋体" w:cs="宋体"/>
          <w:b/>
          <w:color w:val="auto"/>
          <w:sz w:val="24"/>
          <w:highlight w:val="none"/>
        </w:rPr>
        <w:t>八、询问、质疑和投诉</w:t>
      </w:r>
      <w:bookmarkEnd w:id="54"/>
      <w:bookmarkEnd w:id="55"/>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（一）询问</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采购人或者采购代理机构应当在3个工作日内对投标人依法提出的询问作出答复。投标人询问可以是口头或书面形式。</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（二）质疑</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投标人认为采购文件、采购过程和中标结果使自己的权益受到伤害的，可向采购人或采购代理机构以书面形式提出质疑。</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提出质疑的应当是参与所质疑项目采购活动的投标人。 </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1.质疑时限、内容</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1.1投标人对</w:t>
      </w:r>
      <w:r>
        <w:rPr>
          <w:rFonts w:hint="eastAsia" w:ascii="宋体" w:hAnsi="宋体" w:cs="宋体"/>
          <w:color w:val="auto"/>
          <w:sz w:val="24"/>
          <w:highlight w:val="none"/>
          <w:lang w:eastAsia="zh-CN"/>
        </w:rPr>
        <w:t>询价</w:t>
      </w:r>
      <w:r>
        <w:rPr>
          <w:rFonts w:hint="eastAsia" w:ascii="宋体" w:hAnsi="宋体" w:eastAsia="宋体" w:cs="宋体"/>
          <w:color w:val="auto"/>
          <w:sz w:val="24"/>
          <w:highlight w:val="none"/>
        </w:rPr>
        <w:t>文件提出质疑的，应在依法获取</w:t>
      </w:r>
      <w:r>
        <w:rPr>
          <w:rFonts w:hint="eastAsia" w:ascii="宋体" w:hAnsi="宋体" w:cs="宋体"/>
          <w:color w:val="auto"/>
          <w:sz w:val="24"/>
          <w:highlight w:val="none"/>
          <w:lang w:eastAsia="zh-CN"/>
        </w:rPr>
        <w:t>询价</w:t>
      </w:r>
      <w:r>
        <w:rPr>
          <w:rFonts w:hint="eastAsia" w:ascii="宋体" w:hAnsi="宋体" w:eastAsia="宋体" w:cs="宋体"/>
          <w:color w:val="auto"/>
          <w:sz w:val="24"/>
          <w:highlight w:val="none"/>
        </w:rPr>
        <w:t>文件（购买了</w:t>
      </w:r>
      <w:r>
        <w:rPr>
          <w:rFonts w:hint="eastAsia" w:ascii="宋体" w:hAnsi="宋体" w:cs="宋体"/>
          <w:color w:val="auto"/>
          <w:sz w:val="24"/>
          <w:highlight w:val="none"/>
          <w:lang w:eastAsia="zh-CN"/>
        </w:rPr>
        <w:t>询价</w:t>
      </w:r>
      <w:r>
        <w:rPr>
          <w:rFonts w:hint="eastAsia" w:ascii="宋体" w:hAnsi="宋体" w:eastAsia="宋体" w:cs="宋体"/>
          <w:color w:val="auto"/>
          <w:sz w:val="24"/>
          <w:highlight w:val="none"/>
        </w:rPr>
        <w:t>文件并完成了报名手续）之日或者</w:t>
      </w:r>
      <w:r>
        <w:rPr>
          <w:rFonts w:hint="eastAsia" w:ascii="宋体" w:hAnsi="宋体" w:cs="宋体"/>
          <w:color w:val="auto"/>
          <w:sz w:val="24"/>
          <w:highlight w:val="none"/>
          <w:lang w:eastAsia="zh-CN"/>
        </w:rPr>
        <w:t>询价</w:t>
      </w:r>
      <w:r>
        <w:rPr>
          <w:rFonts w:hint="eastAsia" w:ascii="宋体" w:hAnsi="宋体" w:eastAsia="宋体" w:cs="宋体"/>
          <w:color w:val="auto"/>
          <w:sz w:val="24"/>
          <w:highlight w:val="none"/>
        </w:rPr>
        <w:t>文件公告期限届满之日起七个工作日内提出。</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投标人对采购过程提出质疑的，应在各采购程序环节结束之日起七个工作日内提出。</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1.3投标人对中标结果提出质疑的，应当在中标结果公告期限届满之日起七个工作日内提出。</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1.4投标人提出质疑应当提交质疑函和必要的证明材料，质疑函应当包括下列内容：</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的姓名或者名称、地址、邮编、联系人及联系电话；</w:t>
      </w:r>
      <w:bookmarkStart w:id="90" w:name="_GoBack"/>
      <w:bookmarkEnd w:id="90"/>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1.4.2质疑项目的名称、项目号以及</w:t>
      </w:r>
      <w:r>
        <w:rPr>
          <w:rFonts w:hint="eastAsia" w:ascii="宋体" w:hAnsi="宋体" w:cs="宋体"/>
          <w:color w:val="auto"/>
          <w:sz w:val="24"/>
          <w:highlight w:val="none"/>
          <w:lang w:eastAsia="zh-CN"/>
        </w:rPr>
        <w:t>询价</w:t>
      </w:r>
      <w:r>
        <w:rPr>
          <w:rFonts w:hint="eastAsia" w:ascii="宋体" w:hAnsi="宋体" w:eastAsia="宋体" w:cs="宋体"/>
          <w:color w:val="auto"/>
          <w:sz w:val="24"/>
          <w:highlight w:val="none"/>
        </w:rPr>
        <w:t>项目编号；</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1.4.3具体、明确的质疑事项和与质疑事项相关的请求；</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1.4.4事实依据；</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1.4.5必要的法律依据；</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1.4.6提出质疑的日期；</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1.4.7营业执照（或事业单位法人证书，或个体工商户营业执照或有效的自然人身份证明、组织机构代码证）复印件；</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1.4.8法定代表人授权委托书原件、法定代表人身份证复印件和其授权代表的身份证复印件（</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为自然人的提供自然人身份证复印件）；</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为自然人的，质疑函应当由本人签字；</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为法人或者其他组织的，质疑函应当由法定代表人、主要负责人，或者其授权代表签字或者盖章，并加盖公章。</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2.质疑答复</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采购人、采购代理机构应当在收到投标人的书面质疑后七个工作日内作出答复，并以书面形式通知质疑投标人和其他有关投标人。</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3.1投标人应按照《政府采购质疑和投诉办法》（财政部令第94号）及相关法律法规要求，在法定质疑期内一次性提出针对同一采购程序环节的质疑。</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3.2质疑函范本可在</w:t>
      </w:r>
      <w:r>
        <w:rPr>
          <w:rFonts w:hint="eastAsia" w:ascii="宋体" w:hAnsi="宋体" w:eastAsia="宋体" w:cs="宋体"/>
          <w:color w:val="auto"/>
          <w:sz w:val="24"/>
          <w:highlight w:val="none"/>
          <w:lang w:eastAsia="zh-CN"/>
        </w:rPr>
        <w:t>监督部门</w:t>
      </w:r>
      <w:r>
        <w:rPr>
          <w:rFonts w:hint="eastAsia" w:ascii="宋体" w:hAnsi="宋体" w:eastAsia="宋体" w:cs="宋体"/>
          <w:color w:val="auto"/>
          <w:sz w:val="24"/>
          <w:highlight w:val="none"/>
        </w:rPr>
        <w:t>户网站和中国政府采购网下载。</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（三）投诉</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1.投标人对采购人、采购代理机构的答复不满意，或者采购人、采购代理机构未在规定时间内作出答复的，可以在答复期满后15个工作日内按照相关法律法规向</w:t>
      </w:r>
      <w:r>
        <w:rPr>
          <w:rFonts w:hint="eastAsia" w:ascii="宋体" w:hAnsi="宋体" w:eastAsia="宋体" w:cs="宋体"/>
          <w:color w:val="auto"/>
          <w:sz w:val="24"/>
          <w:highlight w:val="none"/>
          <w:lang w:eastAsia="zh-CN"/>
        </w:rPr>
        <w:t>监督部门</w:t>
      </w:r>
      <w:r>
        <w:rPr>
          <w:rFonts w:hint="eastAsia" w:ascii="宋体" w:hAnsi="宋体" w:eastAsia="宋体" w:cs="宋体"/>
          <w:color w:val="auto"/>
          <w:sz w:val="24"/>
          <w:highlight w:val="none"/>
        </w:rPr>
        <w:t>提起投诉。</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2.投标人应按照《政府采购质疑和投诉办法》（财政部令第94号）及相关法律法规要求递交投诉书和必要的证明材料。投诉书范本可在</w:t>
      </w:r>
      <w:r>
        <w:rPr>
          <w:rFonts w:hint="eastAsia" w:ascii="宋体" w:hAnsi="宋体" w:eastAsia="宋体" w:cs="宋体"/>
          <w:color w:val="auto"/>
          <w:sz w:val="24"/>
          <w:highlight w:val="none"/>
          <w:lang w:eastAsia="zh-CN"/>
        </w:rPr>
        <w:t>监督部门</w:t>
      </w:r>
      <w:r>
        <w:rPr>
          <w:rFonts w:hint="eastAsia" w:ascii="宋体" w:hAnsi="宋体" w:eastAsia="宋体" w:cs="宋体"/>
          <w:color w:val="auto"/>
          <w:sz w:val="24"/>
          <w:highlight w:val="none"/>
        </w:rPr>
        <w:t>户网站和中国政府采购网下载。</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3.投诉书应当使用中文，相关当事人提供外文书证或者外国语视听资料的，应当附有中文译本，由翻译机构盖章或者翻译人员签名；相关当事人向</w:t>
      </w:r>
      <w:r>
        <w:rPr>
          <w:rFonts w:hint="eastAsia" w:ascii="宋体" w:hAnsi="宋体" w:eastAsia="宋体" w:cs="宋体"/>
          <w:color w:val="auto"/>
          <w:sz w:val="24"/>
          <w:highlight w:val="none"/>
          <w:lang w:eastAsia="zh-CN"/>
        </w:rPr>
        <w:t>监督部门</w:t>
      </w:r>
      <w:r>
        <w:rPr>
          <w:rFonts w:hint="eastAsia" w:ascii="宋体" w:hAnsi="宋体" w:eastAsia="宋体" w:cs="宋体"/>
          <w:color w:val="auto"/>
          <w:sz w:val="24"/>
          <w:highlight w:val="none"/>
        </w:rPr>
        <w:t>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4.在确定受理投诉后，</w:t>
      </w:r>
      <w:r>
        <w:rPr>
          <w:rFonts w:hint="eastAsia" w:ascii="宋体" w:hAnsi="宋体" w:eastAsia="宋体" w:cs="宋体"/>
          <w:color w:val="auto"/>
          <w:sz w:val="24"/>
          <w:highlight w:val="none"/>
          <w:lang w:eastAsia="zh-CN"/>
        </w:rPr>
        <w:t>监督部门</w:t>
      </w:r>
      <w:r>
        <w:rPr>
          <w:rFonts w:hint="eastAsia" w:ascii="宋体" w:hAnsi="宋体" w:eastAsia="宋体" w:cs="宋体"/>
          <w:color w:val="auto"/>
          <w:sz w:val="24"/>
          <w:highlight w:val="none"/>
        </w:rPr>
        <w:t>自受理投诉之日起30个工作日内（需要检验、检测、鉴定、专家评审以及需要投诉人补正材料的，所需时间不计算在投诉处理期限内）对投诉事项</w:t>
      </w:r>
      <w:r>
        <w:rPr>
          <w:rFonts w:hint="eastAsia" w:ascii="宋体" w:hAnsi="宋体" w:cs="宋体"/>
          <w:color w:val="auto"/>
          <w:sz w:val="24"/>
          <w:highlight w:val="none"/>
          <w:lang w:eastAsia="zh-CN"/>
        </w:rPr>
        <w:t>作出</w:t>
      </w:r>
      <w:r>
        <w:rPr>
          <w:rFonts w:hint="eastAsia" w:ascii="宋体" w:hAnsi="宋体" w:eastAsia="宋体" w:cs="宋体"/>
          <w:color w:val="auto"/>
          <w:sz w:val="24"/>
          <w:highlight w:val="none"/>
        </w:rPr>
        <w:t>处理决定。</w:t>
      </w:r>
    </w:p>
    <w:p>
      <w:pPr>
        <w:pStyle w:val="5"/>
        <w:spacing w:line="400" w:lineRule="exact"/>
        <w:ind w:firstLine="482" w:firstLineChars="200"/>
        <w:rPr>
          <w:rFonts w:hint="eastAsia" w:ascii="宋体" w:hAnsi="宋体" w:eastAsia="宋体" w:cs="宋体"/>
          <w:b/>
          <w:color w:val="auto"/>
          <w:sz w:val="24"/>
          <w:highlight w:val="none"/>
        </w:rPr>
      </w:pPr>
      <w:bookmarkStart w:id="56" w:name="_Toc26888434"/>
      <w:bookmarkStart w:id="57" w:name="_Toc4796"/>
      <w:r>
        <w:rPr>
          <w:rFonts w:hint="eastAsia" w:ascii="宋体" w:hAnsi="宋体" w:eastAsia="宋体" w:cs="宋体"/>
          <w:b/>
          <w:color w:val="auto"/>
          <w:sz w:val="24"/>
          <w:highlight w:val="none"/>
        </w:rPr>
        <w:t>九、采购代理服务费</w:t>
      </w:r>
      <w:bookmarkEnd w:id="56"/>
      <w:bookmarkEnd w:id="57"/>
    </w:p>
    <w:p>
      <w:pPr>
        <w:snapToGrid w:val="0"/>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本项目的采购代理服务费由中标人支付，</w:t>
      </w:r>
      <w:r>
        <w:rPr>
          <w:rFonts w:hint="eastAsia" w:ascii="宋体" w:hAnsi="宋体" w:eastAsia="宋体" w:cs="宋体"/>
          <w:color w:val="auto"/>
          <w:sz w:val="24"/>
          <w:szCs w:val="24"/>
          <w:highlight w:val="none"/>
        </w:rPr>
        <w:t>投标人中标后</w:t>
      </w:r>
      <w:r>
        <w:rPr>
          <w:rFonts w:hint="eastAsia" w:ascii="宋体" w:hAnsi="宋体" w:eastAsia="宋体" w:cs="宋体"/>
          <w:color w:val="auto"/>
          <w:sz w:val="24"/>
          <w:szCs w:val="24"/>
          <w:highlight w:val="none"/>
          <w:lang w:val="en-US" w:eastAsia="zh-CN"/>
        </w:rPr>
        <w:t>领取中标通知书前</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采购代理机构一次性缴纳代理服务费，服务费的收取标准：向中标单位收取</w:t>
      </w:r>
      <w:r>
        <w:rPr>
          <w:rFonts w:hint="eastAsia" w:ascii="宋体" w:hAnsi="宋体" w:cs="宋体"/>
          <w:color w:val="auto"/>
          <w:sz w:val="24"/>
          <w:szCs w:val="24"/>
          <w:highlight w:val="none"/>
          <w:lang w:val="en-US" w:eastAsia="zh-Hans"/>
        </w:rPr>
        <w:t>人民币</w:t>
      </w:r>
      <w:r>
        <w:rPr>
          <w:rFonts w:hint="eastAsia" w:ascii="宋体" w:hAnsi="宋体" w:cs="宋体"/>
          <w:color w:val="auto"/>
          <w:sz w:val="24"/>
          <w:szCs w:val="24"/>
          <w:highlight w:val="none"/>
          <w:u w:val="single"/>
          <w:lang w:val="en-US" w:eastAsia="zh-CN"/>
        </w:rPr>
        <w:t xml:space="preserve"> 4200</w:t>
      </w:r>
      <w:r>
        <w:rPr>
          <w:rFonts w:hint="eastAsia" w:ascii="宋体" w:hAnsi="宋体" w:eastAsia="宋体" w:cs="宋体"/>
          <w:color w:val="auto"/>
          <w:sz w:val="24"/>
          <w:szCs w:val="24"/>
          <w:highlight w:val="none"/>
          <w:lang w:val="en-US" w:eastAsia="zh-CN"/>
        </w:rPr>
        <w:t>元代理服务费</w:t>
      </w:r>
      <w:r>
        <w:rPr>
          <w:rFonts w:hint="eastAsia" w:ascii="宋体" w:hAnsi="宋体" w:eastAsia="宋体" w:cs="宋体"/>
          <w:color w:val="auto"/>
          <w:sz w:val="24"/>
          <w:highlight w:val="none"/>
        </w:rPr>
        <w:t>。</w:t>
      </w:r>
    </w:p>
    <w:p>
      <w:pPr>
        <w:pStyle w:val="5"/>
        <w:spacing w:line="400" w:lineRule="exact"/>
        <w:ind w:firstLine="482" w:firstLineChars="200"/>
        <w:rPr>
          <w:rFonts w:hint="eastAsia" w:ascii="宋体" w:hAnsi="宋体" w:eastAsia="宋体" w:cs="宋体"/>
          <w:b/>
          <w:color w:val="auto"/>
          <w:sz w:val="24"/>
          <w:highlight w:val="none"/>
        </w:rPr>
      </w:pPr>
      <w:bookmarkStart w:id="58" w:name="_Toc26888436"/>
      <w:bookmarkStart w:id="59" w:name="_Toc17458"/>
      <w:r>
        <w:rPr>
          <w:rFonts w:hint="eastAsia" w:ascii="宋体" w:hAnsi="宋体" w:eastAsia="宋体" w:cs="宋体"/>
          <w:b/>
          <w:color w:val="auto"/>
          <w:sz w:val="24"/>
          <w:highlight w:val="none"/>
        </w:rPr>
        <w:t>十、签订合同</w:t>
      </w:r>
      <w:bookmarkEnd w:id="58"/>
      <w:bookmarkEnd w:id="59"/>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（一）采购人应当自中标通知书发出之日起</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日内，按照</w:t>
      </w:r>
      <w:r>
        <w:rPr>
          <w:rFonts w:hint="eastAsia" w:ascii="宋体" w:hAnsi="宋体" w:cs="宋体"/>
          <w:color w:val="auto"/>
          <w:sz w:val="24"/>
          <w:highlight w:val="none"/>
          <w:lang w:eastAsia="zh-CN"/>
        </w:rPr>
        <w:t>询价</w:t>
      </w:r>
      <w:r>
        <w:rPr>
          <w:rFonts w:hint="eastAsia" w:ascii="宋体" w:hAnsi="宋体" w:eastAsia="宋体" w:cs="宋体"/>
          <w:color w:val="auto"/>
          <w:sz w:val="24"/>
          <w:highlight w:val="none"/>
        </w:rPr>
        <w:t>文件和中标人投标文件的约定，与中标人签订书面合同。所签订的合同不得对</w:t>
      </w:r>
      <w:r>
        <w:rPr>
          <w:rFonts w:hint="eastAsia" w:ascii="宋体" w:hAnsi="宋体" w:cs="宋体"/>
          <w:color w:val="auto"/>
          <w:sz w:val="24"/>
          <w:highlight w:val="none"/>
          <w:lang w:eastAsia="zh-CN"/>
        </w:rPr>
        <w:t>询价</w:t>
      </w:r>
      <w:r>
        <w:rPr>
          <w:rFonts w:hint="eastAsia" w:ascii="宋体" w:hAnsi="宋体" w:eastAsia="宋体" w:cs="宋体"/>
          <w:color w:val="auto"/>
          <w:sz w:val="24"/>
          <w:highlight w:val="none"/>
        </w:rPr>
        <w:t>文件和中标人投标文件作实质性修改。</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ascii="宋体" w:hAnsi="宋体" w:cs="宋体"/>
          <w:color w:val="auto"/>
          <w:sz w:val="24"/>
          <w:highlight w:val="none"/>
          <w:lang w:eastAsia="zh-CN"/>
        </w:rPr>
        <w:t>询价</w:t>
      </w:r>
      <w:r>
        <w:rPr>
          <w:rFonts w:hint="eastAsia" w:ascii="宋体" w:hAnsi="宋体" w:eastAsia="宋体" w:cs="宋体"/>
          <w:color w:val="auto"/>
          <w:sz w:val="24"/>
          <w:highlight w:val="none"/>
        </w:rPr>
        <w:t>文件、中标人的投标文件及澄清文件等，均为签订企业采购合同的依据。</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（三）合同生效条款由供需双方约定，法律、行政法规规定应当办理批准、登记等手续后生效的合同，依照其规定。</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（四）合同原则上应按照《重庆市企业采购合同》签订，相关单位要求适用合同通用格式版本的，应按其要求另行签订其他合同。</w:t>
      </w:r>
    </w:p>
    <w:p>
      <w:pPr>
        <w:pStyle w:val="2"/>
        <w:ind w:left="0" w:leftChars="0" w:firstLine="482" w:firstLineChars="200"/>
        <w:rPr>
          <w:rFonts w:hint="eastAsia" w:ascii="宋体" w:hAnsi="宋体" w:eastAsia="宋体" w:cs="宋体"/>
          <w:b/>
          <w:color w:val="auto"/>
          <w:kern w:val="2"/>
          <w:sz w:val="24"/>
          <w:highlight w:val="none"/>
          <w:lang w:val="zh-CN" w:eastAsia="zh-CN" w:bidi="ar-SA"/>
        </w:rPr>
      </w:pPr>
      <w:r>
        <w:rPr>
          <w:rFonts w:hint="eastAsia" w:ascii="宋体" w:hAnsi="宋体" w:eastAsia="宋体" w:cs="宋体"/>
          <w:b/>
          <w:color w:val="auto"/>
          <w:kern w:val="2"/>
          <w:sz w:val="24"/>
          <w:highlight w:val="none"/>
          <w:lang w:val="zh-CN" w:eastAsia="zh-CN" w:bidi="ar-SA"/>
        </w:rPr>
        <w:t>十一</w:t>
      </w:r>
      <w:r>
        <w:rPr>
          <w:rFonts w:hint="eastAsia" w:ascii="宋体" w:hAnsi="宋体" w:cs="宋体"/>
          <w:b/>
          <w:color w:val="auto"/>
          <w:kern w:val="2"/>
          <w:sz w:val="24"/>
          <w:highlight w:val="none"/>
          <w:lang w:val="zh-CN" w:eastAsia="zh-CN" w:bidi="ar-SA"/>
        </w:rPr>
        <w:t>、</w:t>
      </w:r>
    </w:p>
    <w:p>
      <w:pPr>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bookmarkStart w:id="60" w:name="_Toc439922673"/>
      <w:r>
        <w:rPr>
          <w:rFonts w:hint="eastAsia" w:ascii="宋体" w:hAnsi="宋体" w:eastAsia="宋体" w:cs="宋体"/>
          <w:b/>
          <w:color w:val="auto"/>
          <w:sz w:val="24"/>
          <w:highlight w:val="none"/>
          <w:lang w:val="zh-CN"/>
        </w:rPr>
        <w:t xml:space="preserve"> </w:t>
      </w:r>
    </w:p>
    <w:p>
      <w:pPr>
        <w:pStyle w:val="5"/>
        <w:spacing w:line="400" w:lineRule="exact"/>
        <w:ind w:firstLine="723" w:firstLineChars="200"/>
        <w:jc w:val="center"/>
        <w:rPr>
          <w:rFonts w:hint="eastAsia" w:ascii="宋体" w:hAnsi="宋体" w:eastAsia="宋体" w:cs="宋体"/>
          <w:b/>
          <w:color w:val="auto"/>
          <w:sz w:val="36"/>
          <w:szCs w:val="36"/>
          <w:highlight w:val="none"/>
        </w:rPr>
      </w:pPr>
      <w:bookmarkStart w:id="61" w:name="_Toc16290"/>
      <w:r>
        <w:rPr>
          <w:rFonts w:hint="eastAsia" w:ascii="宋体" w:hAnsi="宋体" w:eastAsia="宋体" w:cs="宋体"/>
          <w:b/>
          <w:color w:val="auto"/>
          <w:sz w:val="36"/>
          <w:szCs w:val="36"/>
          <w:highlight w:val="none"/>
        </w:rPr>
        <w:t>第六篇  合同主要条款和格式合同（样本）</w:t>
      </w:r>
      <w:bookmarkEnd w:id="60"/>
      <w:bookmarkEnd w:id="61"/>
    </w:p>
    <w:p>
      <w:pPr>
        <w:snapToGrid w:val="0"/>
        <w:spacing w:line="380" w:lineRule="exact"/>
        <w:ind w:firstLine="424" w:firstLineChars="200"/>
        <w:rPr>
          <w:rFonts w:hint="eastAsia" w:ascii="宋体" w:hAnsi="宋体" w:eastAsia="宋体" w:cs="宋体"/>
          <w:bCs/>
          <w:color w:val="auto"/>
          <w:spacing w:val="-14"/>
          <w:sz w:val="24"/>
          <w:szCs w:val="24"/>
          <w:highlight w:val="none"/>
        </w:rPr>
      </w:pPr>
      <w:bookmarkStart w:id="62" w:name="_Toc277084870"/>
      <w:bookmarkStart w:id="63" w:name="_Toc285722712"/>
      <w:bookmarkStart w:id="64" w:name="_Toc441065691"/>
      <w:bookmarkStart w:id="65" w:name="_Toc439922676"/>
    </w:p>
    <w:bookmarkEnd w:id="62"/>
    <w:bookmarkEnd w:id="63"/>
    <w:bookmarkEnd w:id="64"/>
    <w:p>
      <w:pPr>
        <w:keepNext w:val="0"/>
        <w:keepLines w:val="0"/>
        <w:pageBreakBefore w:val="0"/>
        <w:widowControl w:val="0"/>
        <w:kinsoku/>
        <w:wordWrap/>
        <w:overflowPunct/>
        <w:topLinePunct w:val="0"/>
        <w:autoSpaceDE/>
        <w:autoSpaceDN/>
        <w:bidi w:val="0"/>
        <w:adjustRightInd/>
        <w:snapToGrid/>
        <w:spacing w:before="116" w:line="400" w:lineRule="exact"/>
        <w:ind w:left="580"/>
        <w:jc w:val="both"/>
        <w:textAlignment w:val="auto"/>
        <w:rPr>
          <w:rFonts w:hint="eastAsia" w:ascii="宋体" w:hAnsi="宋体" w:eastAsia="宋体" w:cs="宋体"/>
          <w:spacing w:val="8"/>
          <w:sz w:val="26"/>
          <w:szCs w:val="26"/>
        </w:rPr>
      </w:pPr>
    </w:p>
    <w:p>
      <w:pPr>
        <w:pStyle w:val="4"/>
        <w:spacing w:beforeLines="0" w:afterLines="0" w:line="360" w:lineRule="auto"/>
        <w:jc w:val="center"/>
        <w:rPr>
          <w:rFonts w:hint="eastAsia" w:ascii="宋体" w:hAnsi="宋体" w:eastAsia="宋体" w:cs="宋体"/>
          <w:b/>
          <w:color w:val="auto"/>
          <w:sz w:val="36"/>
          <w:szCs w:val="36"/>
          <w:highlight w:val="none"/>
        </w:rPr>
      </w:pPr>
      <w:bookmarkStart w:id="66" w:name="_Toc24380"/>
    </w:p>
    <w:p>
      <w:pPr>
        <w:rPr>
          <w:rFonts w:hint="eastAsia" w:ascii="宋体" w:hAnsi="宋体" w:eastAsia="宋体" w:cs="宋体"/>
          <w:b/>
          <w:color w:val="auto"/>
          <w:sz w:val="36"/>
          <w:szCs w:val="36"/>
          <w:highlight w:val="none"/>
        </w:rPr>
      </w:pPr>
    </w:p>
    <w:p>
      <w:pPr>
        <w:pStyle w:val="7"/>
        <w:numPr>
          <w:ilvl w:val="0"/>
          <w:numId w:val="0"/>
        </w:numPr>
        <w:ind w:leftChars="0"/>
        <w:rPr>
          <w:rFonts w:hint="eastAsia" w:ascii="宋体" w:hAnsi="宋体" w:eastAsia="宋体" w:cs="宋体"/>
        </w:rPr>
      </w:pPr>
    </w:p>
    <w:p>
      <w:pPr>
        <w:rPr>
          <w:rFonts w:hint="eastAsia" w:ascii="宋体" w:hAnsi="宋体" w:eastAsia="宋体" w:cs="宋体"/>
          <w:b/>
          <w:color w:val="auto"/>
          <w:sz w:val="36"/>
          <w:szCs w:val="36"/>
          <w:highlight w:val="none"/>
        </w:rPr>
      </w:pPr>
    </w:p>
    <w:p>
      <w:pPr>
        <w:pStyle w:val="7"/>
        <w:numPr>
          <w:ilvl w:val="0"/>
          <w:numId w:val="0"/>
        </w:numPr>
        <w:ind w:leftChars="0"/>
        <w:rPr>
          <w:rFonts w:hint="eastAsia" w:ascii="宋体" w:hAnsi="宋体" w:eastAsia="宋体" w:cs="宋体"/>
        </w:rPr>
      </w:pPr>
    </w:p>
    <w:p>
      <w:pPr>
        <w:rPr>
          <w:rFonts w:hint="eastAsia" w:ascii="宋体" w:hAnsi="宋体" w:eastAsia="宋体" w:cs="宋体"/>
          <w:b/>
          <w:color w:val="auto"/>
          <w:sz w:val="36"/>
          <w:szCs w:val="36"/>
          <w:highlight w:val="none"/>
        </w:rPr>
      </w:pPr>
    </w:p>
    <w:p>
      <w:pPr>
        <w:pStyle w:val="7"/>
        <w:numPr>
          <w:ilvl w:val="0"/>
          <w:numId w:val="0"/>
        </w:numPr>
        <w:ind w:leftChars="0"/>
        <w:rPr>
          <w:rFonts w:hint="eastAsia" w:ascii="宋体" w:hAnsi="宋体" w:eastAsia="宋体" w:cs="宋体"/>
        </w:rPr>
      </w:pPr>
    </w:p>
    <w:p>
      <w:pPr>
        <w:pStyle w:val="4"/>
        <w:spacing w:beforeLines="0" w:afterLines="0" w:line="360" w:lineRule="auto"/>
        <w:jc w:val="both"/>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7"/>
        <w:numPr>
          <w:ilvl w:val="0"/>
          <w:numId w:val="0"/>
        </w:numPr>
        <w:ind w:leftChars="0"/>
        <w:rPr>
          <w:rFonts w:hint="eastAsia"/>
        </w:rPr>
      </w:pPr>
    </w:p>
    <w:p>
      <w:pPr>
        <w:rPr>
          <w:rFonts w:hint="eastAsia" w:ascii="宋体" w:hAnsi="宋体" w:eastAsia="宋体" w:cs="宋体"/>
          <w:b/>
          <w:color w:val="auto"/>
          <w:sz w:val="36"/>
          <w:szCs w:val="36"/>
          <w:highlight w:val="none"/>
        </w:rPr>
      </w:pPr>
    </w:p>
    <w:p>
      <w:pPr>
        <w:pStyle w:val="4"/>
        <w:spacing w:beforeLines="0" w:afterLines="0" w:line="360" w:lineRule="auto"/>
        <w:jc w:val="both"/>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7"/>
        <w:numPr>
          <w:ilvl w:val="0"/>
          <w:numId w:val="0"/>
        </w:numPr>
        <w:ind w:leftChars="0"/>
        <w:rPr>
          <w:rFonts w:hint="eastAsia"/>
        </w:rPr>
      </w:pPr>
    </w:p>
    <w:p>
      <w:pPr>
        <w:pStyle w:val="4"/>
        <w:spacing w:beforeLines="0" w:afterLines="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第七篇  投标文件格式</w:t>
      </w:r>
      <w:bookmarkEnd w:id="65"/>
      <w:bookmarkEnd w:id="66"/>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一、经济部分</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（一）开标一览表</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二、技术响应偏离表</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投标函</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（二）商务要求响应情况</w:t>
      </w:r>
    </w:p>
    <w:p>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其他优惠</w:t>
      </w:r>
      <w:r>
        <w:rPr>
          <w:rFonts w:hint="eastAsia" w:ascii="宋体" w:hAnsi="宋体" w:eastAsia="宋体" w:cs="宋体"/>
          <w:color w:val="auto"/>
          <w:sz w:val="24"/>
          <w:szCs w:val="24"/>
          <w:highlight w:val="none"/>
        </w:rPr>
        <w:t>服务承诺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（一）营业执照（副本）或事业单位法人证书（副本）复印件</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（四）书面声明（格式）</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（五）特定资格条件证书或证明文件</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五、其他应提供的资料</w:t>
      </w:r>
    </w:p>
    <w:p>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（一）其他资料</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.其他与项目有关的资料（自附）</w:t>
      </w:r>
    </w:p>
    <w:p>
      <w:pPr>
        <w:pStyle w:val="6"/>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highlight w:val="none"/>
        </w:rPr>
        <w:br w:type="page"/>
      </w:r>
      <w:bookmarkStart w:id="67" w:name="_Toc313888360"/>
      <w:bookmarkStart w:id="68" w:name="_Toc313008356"/>
      <w:bookmarkStart w:id="69" w:name="_Toc342913419"/>
      <w:bookmarkStart w:id="70" w:name="_Toc40107691"/>
      <w:bookmarkStart w:id="71" w:name="_Toc12789073"/>
      <w:bookmarkStart w:id="72" w:name="_Toc283382454"/>
      <w:r>
        <w:rPr>
          <w:rFonts w:hint="eastAsia" w:ascii="宋体" w:hAnsi="宋体" w:eastAsia="宋体" w:cs="宋体"/>
          <w:color w:val="auto"/>
          <w:sz w:val="24"/>
          <w:szCs w:val="24"/>
          <w:highlight w:val="none"/>
        </w:rPr>
        <w:t>一、经济部分</w:t>
      </w:r>
      <w:bookmarkEnd w:id="67"/>
      <w:bookmarkEnd w:id="68"/>
      <w:bookmarkEnd w:id="69"/>
      <w:bookmarkEnd w:id="70"/>
    </w:p>
    <w:bookmarkEnd w:id="71"/>
    <w:bookmarkEnd w:id="72"/>
    <w:p>
      <w:pPr>
        <w:kinsoku/>
        <w:overflowPunct/>
        <w:topLinePunct w:val="0"/>
        <w:autoSpaceDE/>
        <w:autoSpaceDN/>
        <w:bidi w:val="0"/>
        <w:snapToGrid w:val="0"/>
        <w:spacing w:line="42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（一）开标一览表</w:t>
      </w:r>
    </w:p>
    <w:p>
      <w:pPr>
        <w:kinsoku/>
        <w:overflowPunct/>
        <w:topLinePunct w:val="0"/>
        <w:autoSpaceDE/>
        <w:autoSpaceDN/>
        <w:bidi w:val="0"/>
        <w:spacing w:line="420" w:lineRule="exact"/>
        <w:ind w:right="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项目名称：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960"/>
        <w:gridCol w:w="1960"/>
        <w:gridCol w:w="1960"/>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投标人名称</w:t>
            </w:r>
          </w:p>
        </w:tc>
        <w:tc>
          <w:tcPr>
            <w:tcW w:w="7840"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7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项目名称</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pStyle w:val="3"/>
              <w:spacing w:line="240" w:lineRule="atLeast"/>
              <w:ind w:left="0" w:leftChars="0"/>
              <w:jc w:val="center"/>
              <w:outlineLvl w:val="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投标报价（元）</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pStyle w:val="3"/>
              <w:spacing w:line="240" w:lineRule="atLeast"/>
              <w:ind w:left="0"/>
              <w:jc w:val="center"/>
              <w:outlineLvl w:val="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投标保证金</w:t>
            </w:r>
          </w:p>
          <w:p>
            <w:pPr>
              <w:pStyle w:val="3"/>
              <w:spacing w:line="240" w:lineRule="atLeast"/>
              <w:ind w:left="0" w:leftChars="0"/>
              <w:jc w:val="center"/>
              <w:outlineLvl w:val="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（元）</w:t>
            </w:r>
          </w:p>
        </w:tc>
        <w:tc>
          <w:tcPr>
            <w:tcW w:w="1960" w:type="dxa"/>
            <w:tcBorders>
              <w:top w:val="single" w:color="auto" w:sz="4" w:space="0"/>
              <w:left w:val="nil"/>
              <w:bottom w:val="single" w:color="auto" w:sz="4" w:space="0"/>
              <w:right w:val="single" w:color="auto" w:sz="4" w:space="0"/>
            </w:tcBorders>
            <w:noWrap w:val="0"/>
            <w:vAlign w:val="center"/>
          </w:tcPr>
          <w:p>
            <w:pPr>
              <w:pStyle w:val="3"/>
              <w:spacing w:line="240" w:lineRule="atLeast"/>
              <w:ind w:left="0" w:leftChars="0"/>
              <w:jc w:val="center"/>
              <w:outlineLvl w:val="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合格</w:t>
            </w:r>
            <w:r>
              <w:rPr>
                <w:rFonts w:hint="eastAsia" w:ascii="宋体" w:hAnsi="宋体" w:cs="宋体"/>
                <w:i w:val="0"/>
                <w:iCs w:val="0"/>
                <w:color w:val="000000"/>
                <w:kern w:val="0"/>
                <w:sz w:val="24"/>
                <w:szCs w:val="24"/>
                <w:u w:val="none"/>
                <w:lang w:val="en-US" w:eastAsia="zh-CN" w:bidi="ar"/>
              </w:rPr>
              <w:t>供应商</w:t>
            </w:r>
            <w:r>
              <w:rPr>
                <w:rFonts w:hint="eastAsia" w:ascii="宋体" w:hAnsi="宋体" w:eastAsia="宋体" w:cs="宋体"/>
                <w:i w:val="0"/>
                <w:iCs w:val="0"/>
                <w:color w:val="000000"/>
                <w:kern w:val="0"/>
                <w:sz w:val="24"/>
                <w:szCs w:val="24"/>
                <w:u w:val="none"/>
                <w:lang w:val="en-US" w:eastAsia="zh-CN" w:bidi="ar"/>
              </w:rPr>
              <w:t>数量（家）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748" w:type="dxa"/>
            <w:gridSpan w:val="2"/>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4"/>
                <w:szCs w:val="24"/>
                <w:highlight w:val="none"/>
              </w:rPr>
            </w:pPr>
          </w:p>
        </w:tc>
        <w:tc>
          <w:tcPr>
            <w:tcW w:w="196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rPr>
            </w:pPr>
          </w:p>
        </w:tc>
        <w:tc>
          <w:tcPr>
            <w:tcW w:w="196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rPr>
            </w:pPr>
          </w:p>
        </w:tc>
        <w:tc>
          <w:tcPr>
            <w:tcW w:w="1960"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lang w:val="zh-CN" w:eastAsia="zh-CN"/>
              </w:rPr>
            </w:pPr>
            <w:r>
              <w:rPr>
                <w:rFonts w:hint="eastAsia" w:ascii="宋体" w:hAnsi="宋体" w:eastAsia="宋体" w:cs="宋体"/>
                <w:i w:val="0"/>
                <w:iCs w:val="0"/>
                <w:color w:val="000000"/>
                <w:kern w:val="0"/>
                <w:sz w:val="24"/>
                <w:szCs w:val="24"/>
                <w:u w:val="none"/>
                <w:lang w:val="en-US" w:eastAsia="zh-CN" w:bidi="ar"/>
              </w:rPr>
              <w:t>备注：</w:t>
            </w:r>
          </w:p>
        </w:tc>
      </w:tr>
    </w:tbl>
    <w:p>
      <w:pPr>
        <w:pStyle w:val="9"/>
        <w:kinsoku/>
        <w:overflowPunct/>
        <w:topLinePunct w:val="0"/>
        <w:autoSpaceDE/>
        <w:autoSpaceDN/>
        <w:bidi w:val="0"/>
        <w:spacing w:line="4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sz w:val="24"/>
          <w:szCs w:val="24"/>
          <w:highlight w:val="none"/>
        </w:rPr>
      </w:pPr>
    </w:p>
    <w:p>
      <w:pPr>
        <w:pStyle w:val="12"/>
        <w:rPr>
          <w:rFonts w:hint="eastAsia" w:ascii="宋体" w:hAnsi="宋体" w:eastAsia="宋体" w:cs="宋体"/>
          <w:color w:val="auto"/>
          <w:highlight w:val="none"/>
        </w:rPr>
      </w:pPr>
    </w:p>
    <w:p>
      <w:pPr>
        <w:kinsoku/>
        <w:overflowPunct/>
        <w:topLinePunct w:val="0"/>
        <w:autoSpaceDE/>
        <w:autoSpaceDN/>
        <w:bidi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                                法定代表人或法定代表人授权代表：</w:t>
      </w:r>
    </w:p>
    <w:p>
      <w:pPr>
        <w:kinsoku/>
        <w:overflowPunct/>
        <w:topLinePunct w:val="0"/>
        <w:autoSpaceDE/>
        <w:autoSpaceDN/>
        <w:bidi w:val="0"/>
        <w:spacing w:line="4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（投标人公章）                               （签字或盖章）</w:t>
      </w:r>
    </w:p>
    <w:p>
      <w:pPr>
        <w:kinsoku/>
        <w:overflowPunct/>
        <w:topLinePunct w:val="0"/>
        <w:autoSpaceDE/>
        <w:autoSpaceDN/>
        <w:bidi w:val="0"/>
        <w:spacing w:line="4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insoku/>
        <w:overflowPunct/>
        <w:topLinePunct w:val="0"/>
        <w:autoSpaceDE/>
        <w:autoSpaceDN/>
        <w:bidi w:val="0"/>
        <w:spacing w:line="4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insoku/>
        <w:overflowPunct/>
        <w:topLinePunct w:val="0"/>
        <w:autoSpaceDE/>
        <w:autoSpaceDN/>
        <w:bidi w:val="0"/>
        <w:spacing w:line="4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1.开标一览表按格式填列；</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2.开标一览表在开标大会上当众宣读，务必填写清楚，准确无误；</w:t>
      </w:r>
    </w:p>
    <w:p>
      <w:pPr>
        <w:snapToGrid w:val="0"/>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rPr>
        <w:br w:type="page"/>
      </w:r>
    </w:p>
    <w:p>
      <w:pPr>
        <w:pStyle w:val="12"/>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highlight w:val="none"/>
        </w:rPr>
      </w:pPr>
    </w:p>
    <w:p>
      <w:pPr>
        <w:pStyle w:val="6"/>
        <w:spacing w:before="0" w:after="0"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bookmarkStart w:id="73" w:name="_Toc313888361"/>
      <w:bookmarkStart w:id="74" w:name="_Toc313008357"/>
      <w:bookmarkStart w:id="75" w:name="_Toc342913420"/>
      <w:bookmarkStart w:id="76" w:name="_Toc40107692"/>
      <w:r>
        <w:rPr>
          <w:rFonts w:hint="eastAsia" w:ascii="宋体" w:hAnsi="宋体" w:eastAsia="宋体" w:cs="宋体"/>
          <w:color w:val="auto"/>
          <w:sz w:val="24"/>
          <w:szCs w:val="24"/>
          <w:highlight w:val="none"/>
        </w:rPr>
        <w:t>二、</w:t>
      </w:r>
      <w:bookmarkEnd w:id="73"/>
      <w:bookmarkEnd w:id="74"/>
      <w:bookmarkEnd w:id="75"/>
      <w:bookmarkEnd w:id="76"/>
      <w:r>
        <w:rPr>
          <w:rFonts w:hint="eastAsia" w:ascii="宋体" w:hAnsi="宋体" w:eastAsia="宋体" w:cs="宋体"/>
          <w:color w:val="auto"/>
          <w:sz w:val="24"/>
          <w:szCs w:val="24"/>
          <w:highlight w:val="none"/>
          <w:lang w:val="en-US" w:eastAsia="zh-CN"/>
        </w:rPr>
        <w:t>技术部分</w:t>
      </w:r>
    </w:p>
    <w:p>
      <w:pPr>
        <w:spacing w:line="400" w:lineRule="exact"/>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技术响应偏离表</w:t>
      </w:r>
    </w:p>
    <w:p>
      <w:pPr>
        <w:spacing w:line="400" w:lineRule="exact"/>
        <w:ind w:firstLine="720" w:firstLineChars="3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询价</w:t>
      </w:r>
      <w:r>
        <w:rPr>
          <w:rFonts w:hint="eastAsia" w:ascii="宋体" w:hAnsi="宋体" w:eastAsia="宋体" w:cs="宋体"/>
          <w:color w:val="auto"/>
          <w:sz w:val="24"/>
          <w:szCs w:val="24"/>
          <w:highlight w:val="none"/>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7146"/>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5"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146"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项目技术要求</w:t>
            </w:r>
          </w:p>
        </w:tc>
        <w:tc>
          <w:tcPr>
            <w:tcW w:w="1249"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5"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146" w:type="dxa"/>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rPr>
            </w:pPr>
          </w:p>
        </w:tc>
        <w:tc>
          <w:tcPr>
            <w:tcW w:w="1249"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5"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146" w:type="dxa"/>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rPr>
            </w:pPr>
          </w:p>
        </w:tc>
        <w:tc>
          <w:tcPr>
            <w:tcW w:w="1249"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5"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146" w:type="dxa"/>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rPr>
            </w:pPr>
          </w:p>
        </w:tc>
        <w:tc>
          <w:tcPr>
            <w:tcW w:w="1249"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5"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146" w:type="dxa"/>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rPr>
            </w:pPr>
          </w:p>
        </w:tc>
        <w:tc>
          <w:tcPr>
            <w:tcW w:w="1249"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5"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146" w:type="dxa"/>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rPr>
            </w:pPr>
          </w:p>
        </w:tc>
        <w:tc>
          <w:tcPr>
            <w:tcW w:w="1249"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5"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146" w:type="dxa"/>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lang w:val="en-US" w:eastAsia="zh-CN"/>
              </w:rPr>
            </w:pPr>
          </w:p>
        </w:tc>
        <w:tc>
          <w:tcPr>
            <w:tcW w:w="1249"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w:t>
            </w:r>
          </w:p>
        </w:tc>
        <w:tc>
          <w:tcPr>
            <w:tcW w:w="7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4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w:t>
            </w:r>
          </w:p>
        </w:tc>
        <w:tc>
          <w:tcPr>
            <w:tcW w:w="7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4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bl>
    <w:p>
      <w:pPr>
        <w:keepNext w:val="0"/>
        <w:keepLines w:val="0"/>
        <w:widowControl/>
        <w:suppressLineNumbers w:val="0"/>
        <w:jc w:val="left"/>
        <w:textAlignment w:val="center"/>
        <w:rPr>
          <w:rFonts w:hint="eastAsia" w:ascii="宋体" w:hAnsi="宋体" w:eastAsia="宋体" w:cs="宋体"/>
          <w:color w:val="auto"/>
          <w:sz w:val="24"/>
          <w:szCs w:val="28"/>
          <w:highlight w:val="none"/>
        </w:rPr>
      </w:pPr>
    </w:p>
    <w:p>
      <w:pPr>
        <w:keepNext w:val="0"/>
        <w:keepLines w:val="0"/>
        <w:widowControl/>
        <w:suppressLineNumbers w:val="0"/>
        <w:ind w:firstLine="240" w:firstLineChars="100"/>
        <w:jc w:val="left"/>
        <w:textAlignment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投标人</w:t>
      </w:r>
      <w:r>
        <w:rPr>
          <w:rFonts w:hint="eastAsia" w:ascii="宋体" w:hAnsi="宋体" w:eastAsia="宋体" w:cs="宋体"/>
          <w:color w:val="auto"/>
          <w:sz w:val="24"/>
          <w:szCs w:val="28"/>
          <w:highlight w:val="none"/>
        </w:rPr>
        <w:t>：                                      法定代表人授权代表：</w:t>
      </w:r>
    </w:p>
    <w:p>
      <w:pPr>
        <w:spacing w:line="500" w:lineRule="exact"/>
        <w:ind w:firstLine="720" w:firstLineChars="3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投标人</w:t>
      </w:r>
      <w:r>
        <w:rPr>
          <w:rFonts w:hint="eastAsia" w:ascii="宋体" w:hAnsi="宋体" w:eastAsia="宋体" w:cs="宋体"/>
          <w:color w:val="auto"/>
          <w:sz w:val="24"/>
          <w:szCs w:val="28"/>
          <w:highlight w:val="none"/>
        </w:rPr>
        <w:t>公章）                               （签字或盖章）</w:t>
      </w: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.本表即为对本项目“第二篇  项目技术</w:t>
      </w:r>
      <w:r>
        <w:rPr>
          <w:rFonts w:hint="eastAsia" w:ascii="宋体" w:hAnsi="宋体" w:eastAsia="宋体" w:cs="宋体"/>
          <w:color w:val="auto"/>
          <w:sz w:val="24"/>
          <w:highlight w:val="none"/>
          <w:lang w:val="en-US" w:eastAsia="zh-CN"/>
        </w:rPr>
        <w:t>要</w:t>
      </w:r>
      <w:r>
        <w:rPr>
          <w:rFonts w:hint="eastAsia" w:ascii="宋体" w:hAnsi="宋体" w:eastAsia="宋体" w:cs="宋体"/>
          <w:color w:val="auto"/>
          <w:sz w:val="24"/>
          <w:highlight w:val="none"/>
        </w:rPr>
        <w:t>求”中所列技术要求进行比较和响应；</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2.该表必须按照</w:t>
      </w:r>
      <w:r>
        <w:rPr>
          <w:rFonts w:hint="eastAsia" w:ascii="宋体" w:hAnsi="宋体" w:cs="宋体"/>
          <w:color w:val="auto"/>
          <w:sz w:val="24"/>
          <w:highlight w:val="none"/>
          <w:lang w:val="en-US" w:eastAsia="zh-CN"/>
        </w:rPr>
        <w:t>询价</w:t>
      </w:r>
      <w:r>
        <w:rPr>
          <w:rFonts w:hint="eastAsia" w:ascii="宋体" w:hAnsi="宋体" w:eastAsia="宋体" w:cs="宋体"/>
          <w:color w:val="auto"/>
          <w:sz w:val="24"/>
          <w:highlight w:val="none"/>
        </w:rPr>
        <w:t>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3.该表可扩展</w:t>
      </w:r>
      <w:r>
        <w:rPr>
          <w:rFonts w:hint="eastAsia" w:ascii="宋体" w:hAnsi="宋体" w:eastAsia="宋体" w:cs="宋体"/>
          <w:color w:val="auto"/>
          <w:sz w:val="24"/>
          <w:szCs w:val="28"/>
          <w:highlight w:val="none"/>
        </w:rPr>
        <w:t>，并逐页签字或盖章</w:t>
      </w:r>
      <w:r>
        <w:rPr>
          <w:rFonts w:hint="eastAsia" w:ascii="宋体" w:hAnsi="宋体" w:eastAsia="宋体" w:cs="宋体"/>
          <w:color w:val="auto"/>
          <w:sz w:val="24"/>
          <w:highlight w:val="none"/>
        </w:rPr>
        <w:t>；</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4.可附相关支撑材料。（格式自定）</w:t>
      </w:r>
    </w:p>
    <w:p>
      <w:pPr>
        <w:numPr>
          <w:ilvl w:val="0"/>
          <w:numId w:val="0"/>
        </w:numPr>
        <w:spacing w:line="40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color w:val="auto"/>
          <w:sz w:val="24"/>
          <w:highlight w:val="none"/>
        </w:rPr>
        <w:br w:type="page"/>
      </w:r>
      <w:bookmarkStart w:id="77" w:name="_Toc313008358"/>
      <w:bookmarkStart w:id="78" w:name="_Toc313888362"/>
      <w:bookmarkStart w:id="79" w:name="_Toc342913421"/>
      <w:bookmarkStart w:id="80" w:name="_Toc40107693"/>
      <w:r>
        <w:rPr>
          <w:rFonts w:hint="eastAsia" w:ascii="宋体" w:hAnsi="宋体" w:eastAsia="宋体" w:cs="宋体"/>
          <w:b/>
          <w:color w:val="auto"/>
          <w:kern w:val="2"/>
          <w:sz w:val="24"/>
          <w:szCs w:val="24"/>
          <w:highlight w:val="none"/>
          <w:lang w:val="en-US" w:eastAsia="zh-CN" w:bidi="ar-SA"/>
        </w:rPr>
        <w:t>三、商务部分</w:t>
      </w:r>
      <w:bookmarkEnd w:id="77"/>
      <w:bookmarkEnd w:id="78"/>
      <w:bookmarkEnd w:id="79"/>
      <w:bookmarkEnd w:id="80"/>
    </w:p>
    <w:p>
      <w:pPr>
        <w:kinsoku/>
        <w:overflowPunct/>
        <w:topLinePunct w:val="0"/>
        <w:autoSpaceDE/>
        <w:autoSpaceDN/>
        <w:bidi w:val="0"/>
        <w:snapToGrid w:val="0"/>
        <w:spacing w:line="42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（一）投标函（格式）</w:t>
      </w:r>
    </w:p>
    <w:p>
      <w:pPr>
        <w:kinsoku/>
        <w:overflowPunct/>
        <w:topLinePunct w:val="0"/>
        <w:autoSpaceDE/>
        <w:autoSpaceDN/>
        <w:bidi w:val="0"/>
        <w:spacing w:line="4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insoku/>
        <w:overflowPunct/>
        <w:topLinePunct w:val="0"/>
        <w:autoSpaceDE/>
        <w:autoSpaceDN/>
        <w:bidi w:val="0"/>
        <w:spacing w:line="420" w:lineRule="exact"/>
        <w:ind w:left="0" w:right="0" w:firstLine="480" w:firstLineChars="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pPr>
        <w:kinsoku/>
        <w:overflowPunct/>
        <w:topLinePunct w:val="0"/>
        <w:autoSpaceDE/>
        <w:autoSpaceDN/>
        <w:bidi w:val="0"/>
        <w:spacing w:line="4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insoku/>
        <w:overflowPunct/>
        <w:topLinePunct w:val="0"/>
        <w:autoSpaceDE/>
        <w:autoSpaceDN/>
        <w:bidi w:val="0"/>
        <w:snapToGrid w:val="0"/>
        <w:spacing w:line="4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名称）：</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（投标人名称）系中华人民共和国合法企业，注册地址：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。我方已仔细研究了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u w:val="single"/>
        </w:rPr>
        <w:tab/>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文件的全部内容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愿意以人民币（大写）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）的投标总报价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我方就参加本次投标有关事项郑重声明如下：</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一、我方完全理解并接受该项目</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文件所有要求。</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二、我方提交的所有投标文件、资料都是准确和真实的，如有虚假或隐瞒，我方愿意承担一切法律责任。</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三、我方承诺按照</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文件要求，提供</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项目的服务。</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四、我方按</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文件要求提交的投标文件为：投标文件正本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五、我方承诺：本次投标的投标有效期为90</w:t>
      </w:r>
      <w:r>
        <w:rPr>
          <w:rFonts w:hint="eastAsia" w:ascii="宋体" w:hAnsi="宋体" w:eastAsia="宋体" w:cs="宋体"/>
          <w:color w:val="auto"/>
          <w:sz w:val="24"/>
          <w:szCs w:val="24"/>
          <w:highlight w:val="none"/>
          <w:lang w:val="en-US" w:eastAsia="zh-CN"/>
        </w:rPr>
        <w:t>日历</w:t>
      </w:r>
      <w:r>
        <w:rPr>
          <w:rFonts w:hint="eastAsia" w:ascii="宋体" w:hAnsi="宋体" w:eastAsia="宋体" w:cs="宋体"/>
          <w:color w:val="auto"/>
          <w:sz w:val="24"/>
          <w:szCs w:val="24"/>
          <w:highlight w:val="none"/>
        </w:rPr>
        <w:t>天。</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六、我方投标报价为闭口价。即在投标有效期和合同有效期内，该报价固定不变。</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七、如果我方中标，我方将履行</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文件中规定的各项要求以及我方投标文件的各项承诺，按《政府采购法》《</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》及合同约定条款承担我方责任。</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、我方理解，</w:t>
      </w:r>
      <w:r>
        <w:rPr>
          <w:rFonts w:hint="eastAsia" w:ascii="宋体" w:hAnsi="宋体" w:eastAsia="宋体" w:cs="宋体"/>
          <w:color w:val="auto"/>
          <w:sz w:val="24"/>
          <w:szCs w:val="24"/>
          <w:highlight w:val="none"/>
          <w:lang w:val="en-US" w:eastAsia="zh-CN"/>
        </w:rPr>
        <w:t>最高</w:t>
      </w:r>
      <w:r>
        <w:rPr>
          <w:rFonts w:hint="eastAsia" w:ascii="宋体" w:hAnsi="宋体" w:eastAsia="宋体" w:cs="宋体"/>
          <w:color w:val="auto"/>
          <w:sz w:val="24"/>
          <w:szCs w:val="24"/>
          <w:highlight w:val="none"/>
        </w:rPr>
        <w:t>报价不是中标的唯一条件。</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、我方同意按有关规定及</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文件要求，缴纳足额投标保证金。</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lang w:val="en-US" w:eastAsia="zh-CN"/>
        </w:rPr>
      </w:pPr>
      <w:r>
        <w:rPr>
          <w:rFonts w:hint="eastAsia" w:ascii="宋体" w:hAnsi="宋体" w:eastAsia="宋体" w:cs="宋体"/>
          <w:b w:val="0"/>
          <w:color w:val="auto"/>
          <w:kern w:val="2"/>
          <w:sz w:val="24"/>
          <w:szCs w:val="24"/>
          <w:highlight w:val="none"/>
          <w:lang w:val="en-US" w:eastAsia="zh-CN" w:bidi="ar-SA"/>
        </w:rPr>
        <w:t>十、我方承诺产品售价不超出市场价，如高价卖出，将按照合同中的处罚方式接受甲方处罚。</w:t>
      </w:r>
    </w:p>
    <w:p>
      <w:pPr>
        <w:kinsoku/>
        <w:overflowPunct/>
        <w:topLinePunct w:val="0"/>
        <w:autoSpaceDE/>
        <w:autoSpaceDN/>
        <w:bidi w:val="0"/>
        <w:snapToGrid w:val="0"/>
        <w:spacing w:line="420" w:lineRule="exact"/>
        <w:ind w:left="0" w:right="0"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insoku/>
        <w:overflowPunct/>
        <w:topLinePunct w:val="0"/>
        <w:autoSpaceDE/>
        <w:autoSpaceDN/>
        <w:bidi w:val="0"/>
        <w:snapToGrid w:val="0"/>
        <w:spacing w:line="420" w:lineRule="exact"/>
        <w:ind w:left="0" w:right="0" w:firstLine="5460" w:firstLineChars="2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（投标人公章）</w:t>
      </w:r>
    </w:p>
    <w:p>
      <w:pPr>
        <w:kinsoku/>
        <w:overflowPunct/>
        <w:topLinePunct w:val="0"/>
        <w:autoSpaceDE/>
        <w:autoSpaceDN/>
        <w:bidi w:val="0"/>
        <w:snapToGrid w:val="0"/>
        <w:spacing w:line="420" w:lineRule="exact"/>
        <w:ind w:left="0" w:right="0"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insoku/>
        <w:overflowPunct/>
        <w:topLinePunct w:val="0"/>
        <w:autoSpaceDE/>
        <w:autoSpaceDN/>
        <w:bidi w:val="0"/>
        <w:snapToGrid w:val="0"/>
        <w:spacing w:line="420" w:lineRule="exact"/>
        <w:ind w:left="0" w:right="0" w:firstLine="5760" w:firstLineChars="2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numPr>
          <w:ilvl w:val="0"/>
          <w:numId w:val="5"/>
        </w:numPr>
        <w:tabs>
          <w:tab w:val="left" w:pos="6300"/>
        </w:tabs>
        <w:snapToGrid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商务要求响应情况</w:t>
      </w:r>
      <w:bookmarkStart w:id="81" w:name="_Toc283382459"/>
    </w:p>
    <w:p>
      <w:pPr>
        <w:pStyle w:val="12"/>
        <w:numPr>
          <w:ilvl w:val="0"/>
          <w:numId w:val="0"/>
        </w:numPr>
        <w:rPr>
          <w:rFonts w:hint="eastAsia" w:ascii="宋体" w:hAnsi="宋体" w:eastAsia="宋体" w:cs="宋体"/>
          <w:color w:val="auto"/>
          <w:highlight w:val="none"/>
        </w:rPr>
      </w:pPr>
    </w:p>
    <w:p>
      <w:pPr>
        <w:pStyle w:val="12"/>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询价</w:t>
      </w:r>
      <w:r>
        <w:rPr>
          <w:rFonts w:hint="eastAsia" w:ascii="宋体" w:hAnsi="宋体" w:eastAsia="宋体" w:cs="宋体"/>
          <w:color w:val="auto"/>
          <w:sz w:val="24"/>
          <w:szCs w:val="24"/>
          <w:highlight w:val="none"/>
          <w:lang w:val="en-US" w:eastAsia="zh-CN"/>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7146"/>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5"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146"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项目商务要</w:t>
            </w:r>
            <w:r>
              <w:rPr>
                <w:rFonts w:hint="eastAsia" w:ascii="宋体" w:hAnsi="宋体" w:eastAsia="宋体" w:cs="宋体"/>
                <w:color w:val="auto"/>
                <w:sz w:val="24"/>
                <w:szCs w:val="24"/>
                <w:highlight w:val="none"/>
              </w:rPr>
              <w:t>求</w:t>
            </w:r>
          </w:p>
        </w:tc>
        <w:tc>
          <w:tcPr>
            <w:tcW w:w="1249"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5"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49"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5"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49"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5"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49"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5"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49"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5"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49"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5"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49"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w:t>
            </w:r>
          </w:p>
        </w:tc>
        <w:tc>
          <w:tcPr>
            <w:tcW w:w="7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4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bl>
    <w:p>
      <w:pPr>
        <w:keepNext w:val="0"/>
        <w:keepLines w:val="0"/>
        <w:widowControl/>
        <w:suppressLineNumbers w:val="0"/>
        <w:ind w:firstLine="280" w:firstLineChars="100"/>
        <w:jc w:val="left"/>
        <w:textAlignment w:val="center"/>
        <w:rPr>
          <w:rFonts w:hint="eastAsia" w:ascii="宋体" w:hAnsi="宋体" w:eastAsia="宋体" w:cs="宋体"/>
          <w:color w:val="auto"/>
          <w:highlight w:val="none"/>
        </w:rPr>
      </w:pPr>
    </w:p>
    <w:p>
      <w:pPr>
        <w:keepNext w:val="0"/>
        <w:keepLines w:val="0"/>
        <w:widowControl/>
        <w:suppressLineNumbers w:val="0"/>
        <w:ind w:firstLine="280" w:firstLineChars="100"/>
        <w:jc w:val="left"/>
        <w:textAlignment w:val="center"/>
        <w:rPr>
          <w:rFonts w:hint="eastAsia" w:ascii="宋体" w:hAnsi="宋体" w:eastAsia="宋体" w:cs="宋体"/>
          <w:color w:val="auto"/>
          <w:highlight w:val="none"/>
        </w:rPr>
      </w:pPr>
    </w:p>
    <w:p>
      <w:pPr>
        <w:keepNext w:val="0"/>
        <w:keepLines w:val="0"/>
        <w:widowControl/>
        <w:suppressLineNumbers w:val="0"/>
        <w:ind w:firstLine="280" w:firstLineChars="100"/>
        <w:jc w:val="left"/>
        <w:textAlignment w:val="center"/>
        <w:rPr>
          <w:rFonts w:hint="eastAsia" w:ascii="宋体" w:hAnsi="宋体" w:eastAsia="宋体" w:cs="宋体"/>
          <w:color w:val="auto"/>
          <w:highlight w:val="none"/>
        </w:rPr>
      </w:pPr>
    </w:p>
    <w:p>
      <w:pPr>
        <w:keepNext w:val="0"/>
        <w:keepLines w:val="0"/>
        <w:widowControl/>
        <w:suppressLineNumbers w:val="0"/>
        <w:ind w:firstLine="240" w:firstLineChars="100"/>
        <w:jc w:val="left"/>
        <w:textAlignment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投标人</w:t>
      </w:r>
      <w:r>
        <w:rPr>
          <w:rFonts w:hint="eastAsia" w:ascii="宋体" w:hAnsi="宋体" w:eastAsia="宋体" w:cs="宋体"/>
          <w:color w:val="auto"/>
          <w:sz w:val="24"/>
          <w:szCs w:val="28"/>
          <w:highlight w:val="none"/>
        </w:rPr>
        <w:t>：                                      法定代表人授权代表：</w:t>
      </w:r>
    </w:p>
    <w:p>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pPr>
        <w:spacing w:line="500" w:lineRule="exact"/>
        <w:ind w:firstLine="720" w:firstLineChars="3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投标人</w:t>
      </w:r>
      <w:r>
        <w:rPr>
          <w:rFonts w:hint="eastAsia" w:ascii="宋体" w:hAnsi="宋体" w:eastAsia="宋体" w:cs="宋体"/>
          <w:color w:val="auto"/>
          <w:sz w:val="24"/>
          <w:szCs w:val="28"/>
          <w:highlight w:val="none"/>
        </w:rPr>
        <w:t>公章）                               （签字或盖章）</w:t>
      </w:r>
    </w:p>
    <w:p>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年     月     日</w:t>
      </w:r>
    </w:p>
    <w:p>
      <w:pPr>
        <w:spacing w:line="360" w:lineRule="auto"/>
        <w:ind w:firstLine="480" w:firstLineChars="200"/>
        <w:rPr>
          <w:rFonts w:hint="eastAsia" w:ascii="宋体" w:hAnsi="宋体" w:eastAsia="宋体" w:cs="宋体"/>
          <w:color w:val="auto"/>
          <w:sz w:val="24"/>
          <w:szCs w:val="28"/>
          <w:highlight w:val="none"/>
        </w:rPr>
      </w:pPr>
    </w:p>
    <w:p>
      <w:pPr>
        <w:tabs>
          <w:tab w:val="left" w:pos="6300"/>
        </w:tabs>
        <w:snapToGrid w:val="0"/>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tabs>
          <w:tab w:val="left" w:pos="6300"/>
        </w:tabs>
        <w:snapToGrid w:val="0"/>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篇 项目</w:t>
      </w:r>
      <w:r>
        <w:rPr>
          <w:rFonts w:hint="eastAsia" w:ascii="宋体" w:hAnsi="宋体" w:eastAsia="宋体" w:cs="宋体"/>
          <w:color w:val="auto"/>
          <w:sz w:val="24"/>
          <w:szCs w:val="24"/>
          <w:highlight w:val="none"/>
          <w:lang w:val="en-US" w:eastAsia="zh-CN"/>
        </w:rPr>
        <w:t>商务要</w:t>
      </w:r>
      <w:r>
        <w:rPr>
          <w:rFonts w:hint="eastAsia" w:ascii="宋体" w:hAnsi="宋体" w:eastAsia="宋体" w:cs="宋体"/>
          <w:color w:val="auto"/>
          <w:sz w:val="24"/>
          <w:szCs w:val="24"/>
          <w:highlight w:val="none"/>
        </w:rPr>
        <w:t>求”中所列要求进行比较和响应；</w:t>
      </w:r>
    </w:p>
    <w:p>
      <w:pPr>
        <w:tabs>
          <w:tab w:val="left" w:pos="6300"/>
        </w:tabs>
        <w:snapToGrid w:val="0"/>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2.该表必须按照询价要求逐条如实填写，根据响应情况在“差异说明”项填写正偏离或负偏离及原因，完全符合的填写“无差异”；</w:t>
      </w:r>
    </w:p>
    <w:p>
      <w:pPr>
        <w:tabs>
          <w:tab w:val="left" w:pos="6300"/>
        </w:tabs>
        <w:snapToGrid w:val="0"/>
        <w:spacing w:line="38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.该表可扩展，并逐页签字或盖章。</w:t>
      </w:r>
    </w:p>
    <w:p>
      <w:pPr>
        <w:spacing w:line="360" w:lineRule="auto"/>
        <w:ind w:firstLine="56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cs="宋体"/>
          <w:color w:val="auto"/>
          <w:sz w:val="24"/>
          <w:szCs w:val="24"/>
          <w:highlight w:val="none"/>
          <w:lang w:val="en-US" w:eastAsia="zh-CN"/>
        </w:rPr>
        <w:t>其他优惠</w:t>
      </w:r>
      <w:r>
        <w:rPr>
          <w:rFonts w:hint="eastAsia" w:ascii="宋体" w:hAnsi="宋体" w:eastAsia="宋体" w:cs="宋体"/>
          <w:color w:val="auto"/>
          <w:sz w:val="24"/>
          <w:szCs w:val="24"/>
          <w:highlight w:val="none"/>
        </w:rPr>
        <w:t>承诺（格式自定）</w:t>
      </w:r>
    </w:p>
    <w:p>
      <w:pPr>
        <w:pStyle w:val="6"/>
        <w:spacing w:before="0" w:after="0" w:line="360" w:lineRule="auto"/>
        <w:rPr>
          <w:rFonts w:hint="eastAsia" w:ascii="宋体" w:hAnsi="宋体" w:eastAsia="宋体" w:cs="宋体"/>
          <w:color w:val="auto"/>
          <w:sz w:val="52"/>
          <w:szCs w:val="22"/>
          <w:highlight w:val="none"/>
        </w:rPr>
      </w:pPr>
      <w:r>
        <w:rPr>
          <w:rFonts w:hint="eastAsia" w:ascii="宋体" w:hAnsi="宋体" w:eastAsia="宋体" w:cs="宋体"/>
          <w:color w:val="auto"/>
          <w:sz w:val="24"/>
          <w:szCs w:val="24"/>
          <w:highlight w:val="none"/>
        </w:rPr>
        <w:br w:type="page"/>
      </w:r>
      <w:bookmarkEnd w:id="81"/>
      <w:bookmarkStart w:id="82" w:name="_Toc313888363"/>
      <w:bookmarkStart w:id="83" w:name="_Toc342913422"/>
      <w:bookmarkStart w:id="84" w:name="_Toc40107694"/>
      <w:bookmarkStart w:id="85" w:name="_Toc313008359"/>
      <w:r>
        <w:rPr>
          <w:rFonts w:hint="eastAsia" w:ascii="宋体" w:hAnsi="宋体" w:eastAsia="宋体" w:cs="宋体"/>
          <w:color w:val="auto"/>
          <w:sz w:val="32"/>
          <w:szCs w:val="32"/>
          <w:highlight w:val="none"/>
        </w:rPr>
        <w:t>四、资格条件及其他</w:t>
      </w:r>
      <w:bookmarkEnd w:id="82"/>
      <w:bookmarkEnd w:id="83"/>
      <w:bookmarkEnd w:id="84"/>
      <w:bookmarkEnd w:id="85"/>
    </w:p>
    <w:p>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t>（一）营业执照（副本）</w:t>
      </w:r>
      <w:r>
        <w:rPr>
          <w:rFonts w:hint="eastAsia" w:ascii="宋体" w:hAnsi="宋体" w:eastAsia="宋体" w:cs="宋体"/>
          <w:color w:val="auto"/>
          <w:szCs w:val="28"/>
          <w:highlight w:val="none"/>
        </w:rPr>
        <w:t>或事业单位法人证书（副本）</w:t>
      </w:r>
      <w:r>
        <w:rPr>
          <w:rFonts w:hint="eastAsia" w:ascii="宋体" w:hAnsi="宋体" w:eastAsia="宋体" w:cs="宋体"/>
          <w:color w:val="auto"/>
          <w:highlight w:val="none"/>
        </w:rPr>
        <w:t>复印件</w:t>
      </w:r>
    </w:p>
    <w:p>
      <w:pPr>
        <w:tabs>
          <w:tab w:val="left" w:pos="6300"/>
        </w:tabs>
        <w:snapToGrid w:val="0"/>
        <w:spacing w:line="500" w:lineRule="exact"/>
        <w:ind w:firstLine="570"/>
        <w:rPr>
          <w:rFonts w:hint="eastAsia" w:ascii="宋体" w:hAnsi="宋体" w:eastAsia="宋体" w:cs="宋体"/>
          <w:color w:val="auto"/>
          <w:highlight w:val="none"/>
        </w:rPr>
      </w:pPr>
    </w:p>
    <w:p>
      <w:pPr>
        <w:tabs>
          <w:tab w:val="left" w:pos="6300"/>
        </w:tabs>
        <w:snapToGrid w:val="0"/>
        <w:spacing w:line="500" w:lineRule="exact"/>
        <w:ind w:firstLine="570"/>
        <w:rPr>
          <w:rFonts w:hint="eastAsia" w:ascii="宋体" w:hAnsi="宋体" w:eastAsia="宋体" w:cs="宋体"/>
          <w:color w:val="auto"/>
          <w:highlight w:val="none"/>
        </w:rPr>
      </w:pPr>
    </w:p>
    <w:p>
      <w:pPr>
        <w:tabs>
          <w:tab w:val="left" w:pos="6300"/>
        </w:tabs>
        <w:snapToGrid w:val="0"/>
        <w:spacing w:line="500" w:lineRule="exact"/>
        <w:ind w:firstLine="570"/>
        <w:rPr>
          <w:rFonts w:hint="eastAsia" w:ascii="宋体" w:hAnsi="宋体" w:eastAsia="宋体" w:cs="宋体"/>
          <w:color w:val="auto"/>
          <w:highlight w:val="none"/>
        </w:rPr>
      </w:pPr>
    </w:p>
    <w:p>
      <w:pPr>
        <w:tabs>
          <w:tab w:val="left" w:pos="6300"/>
        </w:tabs>
        <w:snapToGrid w:val="0"/>
        <w:spacing w:line="500" w:lineRule="exact"/>
        <w:ind w:firstLine="570"/>
        <w:rPr>
          <w:rFonts w:hint="eastAsia" w:ascii="宋体" w:hAnsi="宋体" w:eastAsia="宋体" w:cs="宋体"/>
          <w:color w:val="auto"/>
          <w:highlight w:val="none"/>
        </w:rPr>
      </w:pPr>
    </w:p>
    <w:p>
      <w:pPr>
        <w:tabs>
          <w:tab w:val="left" w:pos="6300"/>
        </w:tabs>
        <w:snapToGrid w:val="0"/>
        <w:spacing w:line="500" w:lineRule="exact"/>
        <w:ind w:firstLine="570"/>
        <w:rPr>
          <w:rFonts w:hint="eastAsia" w:ascii="宋体" w:hAnsi="宋体" w:eastAsia="宋体" w:cs="宋体"/>
          <w:color w:val="auto"/>
          <w:highlight w:val="none"/>
        </w:rPr>
      </w:pPr>
    </w:p>
    <w:p>
      <w:pPr>
        <w:widowControl/>
        <w:ind w:firstLine="56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（二）法定代表人身份证明书（格式）</w:t>
      </w: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询价</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名称）：</w:t>
      </w: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公章）</w:t>
      </w: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br w:type="column"/>
      </w:r>
      <w:r>
        <w:rPr>
          <w:rFonts w:hint="eastAsia" w:ascii="宋体" w:hAnsi="宋体" w:eastAsia="宋体" w:cs="宋体"/>
          <w:color w:val="auto"/>
          <w:highlight w:val="none"/>
        </w:rPr>
        <w:t>（三）法定代表人授权委托书（格式）</w:t>
      </w: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szCs w:val="28"/>
          <w:highlight w:val="none"/>
          <w:lang w:val="en-US" w:eastAsia="zh-CN"/>
        </w:rPr>
        <w:t>询价</w:t>
      </w: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名称）：</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w:t>
      </w:r>
      <w:r>
        <w:rPr>
          <w:rFonts w:hint="eastAsia" w:ascii="宋体" w:hAnsi="宋体" w:cs="宋体"/>
          <w:color w:val="auto"/>
          <w:sz w:val="24"/>
          <w:highlight w:val="none"/>
          <w:lang w:eastAsia="zh-CN"/>
        </w:rPr>
        <w:t>号码</w:t>
      </w:r>
      <w:r>
        <w:rPr>
          <w:rFonts w:hint="eastAsia" w:ascii="宋体" w:hAnsi="宋体" w:eastAsia="宋体" w:cs="宋体"/>
          <w:color w:val="auto"/>
          <w:sz w:val="24"/>
          <w:highlight w:val="none"/>
        </w:rPr>
        <w:t>）代表我单位全权办理上述项目的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、签约等具体工作，并签署全部有关文件、协议及合同。</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我单位对被授权人的签字负全部责任。</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w:t>
      </w:r>
      <w:r>
        <w:rPr>
          <w:rFonts w:hint="eastAsia" w:ascii="宋体" w:hAnsi="宋体" w:cs="宋体"/>
          <w:color w:val="auto"/>
          <w:sz w:val="24"/>
          <w:highlight w:val="none"/>
          <w:lang w:eastAsia="zh-CN"/>
        </w:rPr>
        <w:t>撤销</w:t>
      </w:r>
      <w:r>
        <w:rPr>
          <w:rFonts w:hint="eastAsia" w:ascii="宋体" w:hAnsi="宋体" w:eastAsia="宋体" w:cs="宋体"/>
          <w:color w:val="auto"/>
          <w:sz w:val="24"/>
          <w:highlight w:val="none"/>
        </w:rPr>
        <w:t>授权的书面通知以前，本授权书一直有效。被授权人在授权书有效期内签署的所有文件不因授权</w:t>
      </w:r>
      <w:r>
        <w:rPr>
          <w:rFonts w:hint="eastAsia" w:ascii="宋体" w:hAnsi="宋体" w:cs="宋体"/>
          <w:color w:val="auto"/>
          <w:sz w:val="24"/>
          <w:highlight w:val="none"/>
          <w:lang w:eastAsia="zh-CN"/>
        </w:rPr>
        <w:t>的撤销</w:t>
      </w:r>
      <w:r>
        <w:rPr>
          <w:rFonts w:hint="eastAsia" w:ascii="宋体" w:hAnsi="宋体" w:eastAsia="宋体" w:cs="宋体"/>
          <w:color w:val="auto"/>
          <w:sz w:val="24"/>
          <w:highlight w:val="none"/>
        </w:rPr>
        <w:t>而失效。</w:t>
      </w: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被授权人：                                 </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法定代表人：</w:t>
      </w:r>
    </w:p>
    <w:p>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（签字或盖章）                                （签字或盖章）</w:t>
      </w:r>
    </w:p>
    <w:p>
      <w:pPr>
        <w:tabs>
          <w:tab w:val="left" w:pos="6300"/>
        </w:tabs>
        <w:snapToGrid w:val="0"/>
        <w:spacing w:line="500" w:lineRule="exact"/>
        <w:ind w:firstLine="570"/>
        <w:rPr>
          <w:rFonts w:hint="eastAsia" w:ascii="宋体" w:hAnsi="宋体" w:eastAsia="宋体" w:cs="宋体"/>
          <w:color w:val="auto"/>
          <w:sz w:val="24"/>
          <w:szCs w:val="28"/>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公章）</w:t>
      </w:r>
    </w:p>
    <w:p>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pPr>
        <w:tabs>
          <w:tab w:val="left" w:pos="6300"/>
        </w:tabs>
        <w:snapToGrid w:val="0"/>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highlight w:val="none"/>
        </w:rPr>
        <w:br w:type="column"/>
      </w:r>
      <w:r>
        <w:rPr>
          <w:rFonts w:hint="eastAsia" w:ascii="宋体" w:hAnsi="宋体" w:eastAsia="宋体" w:cs="宋体"/>
          <w:color w:val="auto"/>
          <w:highlight w:val="none"/>
        </w:rPr>
        <w:t>（四）书面声明</w:t>
      </w:r>
    </w:p>
    <w:p>
      <w:pPr>
        <w:tabs>
          <w:tab w:val="left" w:pos="6300"/>
        </w:tabs>
        <w:snapToGrid w:val="0"/>
        <w:spacing w:line="380" w:lineRule="exact"/>
        <w:ind w:firstLine="570"/>
        <w:rPr>
          <w:rFonts w:hint="eastAsia" w:ascii="宋体" w:hAnsi="宋体" w:eastAsia="宋体" w:cs="宋体"/>
          <w:color w:val="auto"/>
          <w:sz w:val="24"/>
          <w:szCs w:val="24"/>
          <w:highlight w:val="none"/>
        </w:rPr>
      </w:pPr>
    </w:p>
    <w:p>
      <w:pPr>
        <w:tabs>
          <w:tab w:val="left" w:pos="6300"/>
        </w:tabs>
        <w:snapToGrid w:val="0"/>
        <w:spacing w:line="38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val="en-US" w:eastAsia="zh-CN"/>
        </w:rPr>
        <w:t xml:space="preserve">                    </w:t>
      </w:r>
    </w:p>
    <w:p>
      <w:pPr>
        <w:tabs>
          <w:tab w:val="left" w:pos="6300"/>
        </w:tabs>
        <w:snapToGrid w:val="0"/>
        <w:spacing w:line="380" w:lineRule="exact"/>
        <w:ind w:firstLine="570"/>
        <w:rPr>
          <w:rFonts w:hint="eastAsia" w:ascii="宋体" w:hAnsi="宋体" w:eastAsia="宋体" w:cs="宋体"/>
          <w:color w:val="auto"/>
          <w:sz w:val="24"/>
          <w:szCs w:val="24"/>
          <w:highlight w:val="none"/>
        </w:rPr>
      </w:pPr>
    </w:p>
    <w:p>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名称）</w:t>
      </w:r>
    </w:p>
    <w:p>
      <w:pPr>
        <w:pStyle w:val="1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投标人</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郑重声明：</w:t>
      </w:r>
    </w:p>
    <w:p>
      <w:pPr>
        <w:pStyle w:val="19"/>
        <w:numPr>
          <w:ilvl w:val="0"/>
          <w:numId w:val="6"/>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我公司具有良好的商业信誉和健全的财务会计制度；</w:t>
      </w:r>
    </w:p>
    <w:p>
      <w:pPr>
        <w:pStyle w:val="19"/>
        <w:numPr>
          <w:ilvl w:val="0"/>
          <w:numId w:val="6"/>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我公司具有履行合同所必需的设备和专业技术能力；</w:t>
      </w:r>
    </w:p>
    <w:p>
      <w:pPr>
        <w:pStyle w:val="19"/>
        <w:numPr>
          <w:ilvl w:val="0"/>
          <w:numId w:val="6"/>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有依法缴纳税收和社会保障金的良好记录；</w:t>
      </w:r>
    </w:p>
    <w:p>
      <w:pPr>
        <w:pStyle w:val="19"/>
        <w:numPr>
          <w:ilvl w:val="0"/>
          <w:numId w:val="6"/>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参加本项目采购活动前三年内无重大违法活动记录，在合同签订前后随时愿意提供相关证明材料；我公司还同时声明未列入在信用中国网站（www.creditchina.gov.cn）“失信被执行人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重大税收违法案件当事人名单”、 “政府采购严重违法失信名单”中，也未列入中国政府采购网（www.ccgp.gov.cn）“政府采购严重违法失信行为记录名单”中，并随时接受</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的检查验证，符合《政府采购法》规定的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资格条件。我方对以上声明负全部法律责任。</w:t>
      </w:r>
    </w:p>
    <w:p>
      <w:pPr>
        <w:tabs>
          <w:tab w:val="left" w:pos="6300"/>
        </w:tabs>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tabs>
          <w:tab w:val="left" w:pos="6300"/>
        </w:tabs>
        <w:snapToGrid w:val="0"/>
        <w:spacing w:line="360" w:lineRule="auto"/>
        <w:ind w:firstLine="570"/>
        <w:rPr>
          <w:rFonts w:hint="eastAsia" w:ascii="宋体" w:hAnsi="宋体" w:eastAsia="宋体" w:cs="宋体"/>
          <w:color w:val="auto"/>
          <w:sz w:val="24"/>
          <w:szCs w:val="24"/>
          <w:highlight w:val="none"/>
        </w:rPr>
      </w:pPr>
    </w:p>
    <w:p>
      <w:pPr>
        <w:tabs>
          <w:tab w:val="left" w:pos="6300"/>
        </w:tabs>
        <w:snapToGrid w:val="0"/>
        <w:spacing w:line="360" w:lineRule="auto"/>
        <w:rPr>
          <w:rFonts w:hint="eastAsia" w:ascii="宋体" w:hAnsi="宋体" w:eastAsia="宋体" w:cs="宋体"/>
          <w:color w:val="auto"/>
          <w:sz w:val="24"/>
          <w:szCs w:val="24"/>
          <w:highlight w:val="none"/>
        </w:rPr>
      </w:pPr>
    </w:p>
    <w:p>
      <w:pPr>
        <w:tabs>
          <w:tab w:val="left" w:pos="6300"/>
        </w:tabs>
        <w:snapToGrid w:val="0"/>
        <w:spacing w:line="360" w:lineRule="auto"/>
        <w:ind w:right="424"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公章）</w:t>
      </w:r>
    </w:p>
    <w:p>
      <w:pPr>
        <w:tabs>
          <w:tab w:val="left" w:pos="6300"/>
        </w:tabs>
        <w:wordWrap w:val="0"/>
        <w:snapToGrid w:val="0"/>
        <w:spacing w:line="500" w:lineRule="exact"/>
        <w:jc w:val="righ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p>
    <w:p>
      <w:pPr>
        <w:tabs>
          <w:tab w:val="left" w:pos="6300"/>
        </w:tabs>
        <w:snapToGrid w:val="0"/>
        <w:spacing w:line="5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（五）特定资格条件证书或证明文件</w:t>
      </w:r>
    </w:p>
    <w:p>
      <w:pPr>
        <w:pStyle w:val="6"/>
        <w:spacing w:before="0" w:after="0"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86" w:name="_Toc486585244"/>
      <w:bookmarkStart w:id="87" w:name="_Toc486608281"/>
      <w:bookmarkStart w:id="88" w:name="_Toc11921"/>
      <w:bookmarkStart w:id="89" w:name="_Toc487204801"/>
      <w:r>
        <w:rPr>
          <w:rFonts w:hint="eastAsia" w:ascii="宋体" w:hAnsi="宋体" w:eastAsia="宋体" w:cs="宋体"/>
          <w:color w:val="auto"/>
          <w:sz w:val="36"/>
          <w:szCs w:val="36"/>
          <w:highlight w:val="none"/>
        </w:rPr>
        <w:t>五、其他应提供的资料</w:t>
      </w:r>
      <w:bookmarkEnd w:id="86"/>
      <w:bookmarkEnd w:id="87"/>
      <w:bookmarkEnd w:id="88"/>
      <w:bookmarkEnd w:id="89"/>
    </w:p>
    <w:p>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（一）其他资料</w:t>
      </w:r>
    </w:p>
    <w:p>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.其他与项目有关的资料（自附）</w:t>
      </w:r>
    </w:p>
    <w:p>
      <w:pPr>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napToGrid w:val="0"/>
        <w:spacing w:line="500" w:lineRule="exact"/>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line="500" w:lineRule="exact"/>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line="500" w:lineRule="exact"/>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line="500" w:lineRule="exact"/>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line="500" w:lineRule="exact"/>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line="500" w:lineRule="exact"/>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line="500" w:lineRule="exact"/>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line="500" w:lineRule="exact"/>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line="500" w:lineRule="exact"/>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line="500" w:lineRule="exact"/>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line="500" w:lineRule="exact"/>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line="500" w:lineRule="exact"/>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line="500" w:lineRule="exact"/>
        <w:jc w:val="center"/>
        <w:rPr>
          <w:rFonts w:hint="eastAsia" w:ascii="宋体" w:hAnsi="宋体" w:eastAsia="宋体" w:cs="宋体"/>
          <w:color w:val="auto"/>
          <w:szCs w:val="28"/>
          <w:highlight w:val="none"/>
        </w:rPr>
      </w:pPr>
      <w:r>
        <w:rPr>
          <w:rFonts w:hint="eastAsia" w:ascii="宋体" w:hAnsi="宋体" w:eastAsia="宋体" w:cs="宋体"/>
          <w:color w:val="auto"/>
          <w:highlight w:val="none"/>
        </w:rPr>
        <w:t>（结束）</w:t>
      </w:r>
    </w:p>
    <w:p>
      <w:pPr>
        <w:snapToGrid w:val="0"/>
        <w:spacing w:line="500" w:lineRule="exact"/>
        <w:ind w:firstLine="56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pPr>
                          <w:r>
                            <w:rPr>
                              <w:sz w:val="24"/>
                            </w:rPr>
                            <w:fldChar w:fldCharType="begin"/>
                          </w:r>
                          <w:r>
                            <w:rPr>
                              <w:rStyle w:val="17"/>
                              <w:sz w:val="24"/>
                            </w:rPr>
                            <w:instrText xml:space="preserve"> PAGE </w:instrText>
                          </w:r>
                          <w:r>
                            <w:rPr>
                              <w:sz w:val="24"/>
                            </w:rPr>
                            <w:fldChar w:fldCharType="separate"/>
                          </w:r>
                          <w:r>
                            <w:rPr>
                              <w:rStyle w:val="17"/>
                              <w:sz w:val="24"/>
                            </w:rPr>
                            <w:t>- 4 -</w:t>
                          </w:r>
                          <w:r>
                            <w:rPr>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0"/>
                      <w:jc w:val="center"/>
                    </w:pPr>
                    <w:r>
                      <w:rPr>
                        <w:sz w:val="24"/>
                      </w:rPr>
                      <w:fldChar w:fldCharType="begin"/>
                    </w:r>
                    <w:r>
                      <w:rPr>
                        <w:rStyle w:val="17"/>
                        <w:sz w:val="24"/>
                      </w:rPr>
                      <w:instrText xml:space="preserve"> PAGE </w:instrText>
                    </w:r>
                    <w:r>
                      <w:rPr>
                        <w:sz w:val="24"/>
                      </w:rPr>
                      <w:fldChar w:fldCharType="separate"/>
                    </w:r>
                    <w:r>
                      <w:rPr>
                        <w:rStyle w:val="17"/>
                        <w:sz w:val="24"/>
                      </w:rPr>
                      <w:t>- 4 -</w:t>
                    </w:r>
                    <w:r>
                      <w:rPr>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both"/>
      <w:rPr>
        <w:rFonts w:ascii="方正仿宋_GBK" w:eastAsia="方正仿宋_GBK"/>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6F1B2"/>
    <w:multiLevelType w:val="singleLevel"/>
    <w:tmpl w:val="8CB6F1B2"/>
    <w:lvl w:ilvl="0" w:tentative="0">
      <w:start w:val="2"/>
      <w:numFmt w:val="chineseCounting"/>
      <w:suff w:val="nothing"/>
      <w:lvlText w:val="（%1）"/>
      <w:lvlJc w:val="left"/>
      <w:rPr>
        <w:rFonts w:hint="eastAsia"/>
      </w:rPr>
    </w:lvl>
  </w:abstractNum>
  <w:abstractNum w:abstractNumId="1">
    <w:nsid w:val="B17FB9FC"/>
    <w:multiLevelType w:val="singleLevel"/>
    <w:tmpl w:val="B17FB9FC"/>
    <w:lvl w:ilvl="0" w:tentative="0">
      <w:start w:val="1"/>
      <w:numFmt w:val="decimal"/>
      <w:suff w:val="nothing"/>
      <w:lvlText w:val="%1、"/>
      <w:lvlJc w:val="left"/>
    </w:lvl>
  </w:abstractNum>
  <w:abstractNum w:abstractNumId="2">
    <w:nsid w:val="C7803910"/>
    <w:multiLevelType w:val="singleLevel"/>
    <w:tmpl w:val="C7803910"/>
    <w:lvl w:ilvl="0" w:tentative="0">
      <w:start w:val="1"/>
      <w:numFmt w:val="chineseCounting"/>
      <w:suff w:val="nothing"/>
      <w:lvlText w:val="%1、"/>
      <w:lvlJc w:val="left"/>
      <w:pPr>
        <w:ind w:left="-482"/>
      </w:pPr>
      <w:rPr>
        <w:rFonts w:hint="eastAsia"/>
        <w:b/>
        <w:bCs/>
      </w:rPr>
    </w:lvl>
  </w:abstractNum>
  <w:abstractNum w:abstractNumId="3">
    <w:nsid w:val="0000000C"/>
    <w:multiLevelType w:val="multilevel"/>
    <w:tmpl w:val="0000000C"/>
    <w:lvl w:ilvl="0" w:tentative="0">
      <w:start w:val="1"/>
      <w:numFmt w:val="japaneseCounting"/>
      <w:lvlText w:val="第%1篇"/>
      <w:lvlJc w:val="left"/>
      <w:pPr>
        <w:tabs>
          <w:tab w:val="left" w:pos="4932"/>
        </w:tabs>
        <w:ind w:left="4932" w:hanging="1530"/>
      </w:pPr>
      <w:rPr>
        <w:rFonts w:hint="default"/>
      </w:rPr>
    </w:lvl>
    <w:lvl w:ilvl="1" w:tentative="0">
      <w:start w:val="1"/>
      <w:numFmt w:val="lowerLetter"/>
      <w:lvlText w:val="%2)"/>
      <w:lvlJc w:val="left"/>
      <w:pPr>
        <w:tabs>
          <w:tab w:val="left" w:pos="4200"/>
        </w:tabs>
        <w:ind w:left="4200" w:hanging="420"/>
      </w:pPr>
    </w:lvl>
    <w:lvl w:ilvl="2" w:tentative="0">
      <w:start w:val="1"/>
      <w:numFmt w:val="lowerRoman"/>
      <w:lvlText w:val="%3."/>
      <w:lvlJc w:val="right"/>
      <w:pPr>
        <w:tabs>
          <w:tab w:val="left" w:pos="4620"/>
        </w:tabs>
        <w:ind w:left="4620" w:hanging="420"/>
      </w:pPr>
    </w:lvl>
    <w:lvl w:ilvl="3" w:tentative="0">
      <w:start w:val="1"/>
      <w:numFmt w:val="decimal"/>
      <w:lvlText w:val="%4."/>
      <w:lvlJc w:val="left"/>
      <w:pPr>
        <w:tabs>
          <w:tab w:val="left" w:pos="5040"/>
        </w:tabs>
        <w:ind w:left="5040" w:hanging="420"/>
      </w:pPr>
    </w:lvl>
    <w:lvl w:ilvl="4" w:tentative="0">
      <w:start w:val="1"/>
      <w:numFmt w:val="lowerLetter"/>
      <w:lvlText w:val="%5)"/>
      <w:lvlJc w:val="left"/>
      <w:pPr>
        <w:tabs>
          <w:tab w:val="left" w:pos="5460"/>
        </w:tabs>
        <w:ind w:left="5460" w:hanging="420"/>
      </w:pPr>
    </w:lvl>
    <w:lvl w:ilvl="5" w:tentative="0">
      <w:start w:val="1"/>
      <w:numFmt w:val="lowerRoman"/>
      <w:lvlText w:val="%6."/>
      <w:lvlJc w:val="right"/>
      <w:pPr>
        <w:tabs>
          <w:tab w:val="left" w:pos="5880"/>
        </w:tabs>
        <w:ind w:left="5880" w:hanging="420"/>
      </w:pPr>
    </w:lvl>
    <w:lvl w:ilvl="6" w:tentative="0">
      <w:start w:val="1"/>
      <w:numFmt w:val="decimal"/>
      <w:lvlText w:val="%7."/>
      <w:lvlJc w:val="left"/>
      <w:pPr>
        <w:tabs>
          <w:tab w:val="left" w:pos="6300"/>
        </w:tabs>
        <w:ind w:left="6300" w:hanging="420"/>
      </w:pPr>
    </w:lvl>
    <w:lvl w:ilvl="7" w:tentative="0">
      <w:start w:val="1"/>
      <w:numFmt w:val="lowerLetter"/>
      <w:lvlText w:val="%8)"/>
      <w:lvlJc w:val="left"/>
      <w:pPr>
        <w:tabs>
          <w:tab w:val="left" w:pos="6720"/>
        </w:tabs>
        <w:ind w:left="6720" w:hanging="420"/>
      </w:pPr>
    </w:lvl>
    <w:lvl w:ilvl="8" w:tentative="0">
      <w:start w:val="1"/>
      <w:numFmt w:val="lowerRoman"/>
      <w:lvlText w:val="%9."/>
      <w:lvlJc w:val="right"/>
      <w:pPr>
        <w:tabs>
          <w:tab w:val="left" w:pos="7140"/>
        </w:tabs>
        <w:ind w:left="7140" w:hanging="420"/>
      </w:pPr>
    </w:lvl>
  </w:abstractNum>
  <w:abstractNum w:abstractNumId="4">
    <w:nsid w:val="00000013"/>
    <w:multiLevelType w:val="multilevel"/>
    <w:tmpl w:val="00000013"/>
    <w:lvl w:ilvl="0" w:tentative="0">
      <w:start w:val="1"/>
      <w:numFmt w:val="chineseCountingThousand"/>
      <w:pStyle w:val="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D6B6C23"/>
    <w:multiLevelType w:val="singleLevel"/>
    <w:tmpl w:val="7D6B6C23"/>
    <w:lvl w:ilvl="0" w:tentative="0">
      <w:start w:val="1"/>
      <w:numFmt w:val="chineseCounting"/>
      <w:suff w:val="nothing"/>
      <w:lvlText w:val="%1、"/>
      <w:lvlJc w:val="left"/>
      <w:rPr>
        <w:rFonts w:hint="eastAsia"/>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YmVlMzU4NmZhMzMwNjZiNzRkZDQwOWYxZDg3ZTIifQ=="/>
  </w:docVars>
  <w:rsids>
    <w:rsidRoot w:val="00000000"/>
    <w:rsid w:val="04FD1DD1"/>
    <w:rsid w:val="07475D0F"/>
    <w:rsid w:val="0CFA0009"/>
    <w:rsid w:val="291D1A9C"/>
    <w:rsid w:val="3832349C"/>
    <w:rsid w:val="40F41E3E"/>
    <w:rsid w:val="48C04CFB"/>
    <w:rsid w:val="4EAC3D58"/>
    <w:rsid w:val="54854461"/>
    <w:rsid w:val="557A79B7"/>
    <w:rsid w:val="558A5885"/>
    <w:rsid w:val="59064FBB"/>
    <w:rsid w:val="59A513FA"/>
    <w:rsid w:val="5FF76DFD"/>
    <w:rsid w:val="66BE68C6"/>
    <w:rsid w:val="7211048A"/>
    <w:rsid w:val="770E78C8"/>
    <w:rsid w:val="7AF64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5">
    <w:name w:val="heading 2"/>
    <w:basedOn w:val="1"/>
    <w:next w:val="1"/>
    <w:qFormat/>
    <w:uiPriority w:val="0"/>
    <w:pPr>
      <w:keepNext/>
      <w:keepLines/>
      <w:adjustRightInd w:val="0"/>
      <w:snapToGrid w:val="0"/>
      <w:spacing w:line="360" w:lineRule="auto"/>
      <w:outlineLvl w:val="1"/>
    </w:pPr>
    <w:rPr>
      <w:rFonts w:ascii="宋体" w:hAnsi="宋体"/>
      <w:lang w:val="zh-CN"/>
    </w:rPr>
  </w:style>
  <w:style w:type="paragraph" w:styleId="6">
    <w:name w:val="heading 3"/>
    <w:basedOn w:val="1"/>
    <w:next w:val="1"/>
    <w:qFormat/>
    <w:uiPriority w:val="0"/>
    <w:pPr>
      <w:keepNext/>
      <w:keepLines/>
      <w:spacing w:before="260" w:after="260" w:line="413" w:lineRule="auto"/>
      <w:jc w:val="center"/>
      <w:outlineLvl w:val="2"/>
    </w:pPr>
    <w:rPr>
      <w:b/>
      <w:sz w:val="44"/>
    </w:rPr>
  </w:style>
  <w:style w:type="paragraph" w:styleId="7">
    <w:name w:val="heading 4"/>
    <w:basedOn w:val="1"/>
    <w:next w:val="1"/>
    <w:qFormat/>
    <w:uiPriority w:val="0"/>
    <w:pPr>
      <w:keepNext/>
      <w:keepLines/>
      <w:numPr>
        <w:ilvl w:val="0"/>
        <w:numId w:val="1"/>
      </w:numPr>
      <w:spacing w:before="560" w:after="290" w:line="377" w:lineRule="auto"/>
      <w:outlineLvl w:val="3"/>
    </w:pPr>
    <w:rPr>
      <w:rFonts w:ascii="Arial" w:hAnsi="Arial" w:eastAsia="黑体"/>
      <w:b/>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firstLineChars="200"/>
    </w:pPr>
    <w:rPr>
      <w:sz w:val="21"/>
    </w:rPr>
  </w:style>
  <w:style w:type="paragraph" w:styleId="3">
    <w:name w:val="Body Text Indent"/>
    <w:basedOn w:val="1"/>
    <w:next w:val="2"/>
    <w:qFormat/>
    <w:uiPriority w:val="0"/>
    <w:pPr>
      <w:spacing w:line="700" w:lineRule="exact"/>
      <w:ind w:left="960"/>
    </w:pPr>
    <w:rPr>
      <w:sz w:val="44"/>
    </w:rPr>
  </w:style>
  <w:style w:type="paragraph" w:styleId="8">
    <w:name w:val="Plain Text"/>
    <w:basedOn w:val="1"/>
    <w:qFormat/>
    <w:uiPriority w:val="0"/>
    <w:pPr>
      <w:adjustRightInd w:val="0"/>
      <w:snapToGrid w:val="0"/>
      <w:spacing w:line="360" w:lineRule="auto"/>
    </w:pPr>
    <w:rPr>
      <w:rFonts w:ascii="宋体" w:hAnsi="Courier New"/>
      <w:sz w:val="21"/>
    </w:rPr>
  </w:style>
  <w:style w:type="paragraph" w:styleId="9">
    <w:name w:val="Date"/>
    <w:basedOn w:val="1"/>
    <w:next w:val="1"/>
    <w:qFormat/>
    <w:uiPriority w:val="99"/>
    <w:rPr>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3">
    <w:name w:val="toc 2"/>
    <w:basedOn w:val="1"/>
    <w:next w:val="1"/>
    <w:qFormat/>
    <w:uiPriority w:val="39"/>
    <w:pPr>
      <w:tabs>
        <w:tab w:val="right" w:leader="dot" w:pos="8400"/>
      </w:tabs>
      <w:spacing w:line="440" w:lineRule="exact"/>
      <w:ind w:left="280" w:leftChars="100" w:right="-91" w:rightChars="-91"/>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customStyle="1" w:styleId="18">
    <w:name w:val="16"/>
    <w:basedOn w:val="16"/>
    <w:autoRedefine/>
    <w:qFormat/>
    <w:uiPriority w:val="0"/>
    <w:rPr>
      <w:rFonts w:hint="default" w:ascii="Calibri" w:hAnsi="Calibri"/>
      <w:sz w:val="21"/>
      <w:szCs w:val="21"/>
    </w:rPr>
  </w:style>
  <w:style w:type="paragraph" w:customStyle="1" w:styleId="19">
    <w:name w:val="1"/>
    <w:basedOn w:val="1"/>
    <w:next w:val="8"/>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11339</Words>
  <Characters>11974</Characters>
  <Lines>0</Lines>
  <Paragraphs>0</Paragraphs>
  <TotalTime>10</TotalTime>
  <ScaleCrop>false</ScaleCrop>
  <LinksUpToDate>false</LinksUpToDate>
  <CharactersWithSpaces>13227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2024-05-20T03:36:00Z</dcterms:created>
  <dc:creator>Administrator</dc:creator>
  <cp:lastModifiedBy>张洪娟</cp:lastModifiedBy>
  <dcterms:modified xsi:type="dcterms:W3CDTF">2024-05-27T01:19:03Z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BA37DBA3C277420EBC2D0B946AA6EFA8_13</vt:lpwstr>
  </property>
</Properties>
</file>